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left"/>
        <w:rPr>
          <w:rFonts w:ascii="仿宋" w:hAnsi="仿宋" w:eastAsia="仿宋"/>
          <w:sz w:val="24"/>
        </w:rPr>
      </w:pPr>
      <w:bookmarkStart w:id="0" w:name="_Toc178674763"/>
      <w:bookmarkStart w:id="1" w:name="_Toc165385343"/>
      <w:bookmarkStart w:id="2" w:name="_Toc163364646"/>
      <w:bookmarkStart w:id="3" w:name="_Toc157418350"/>
      <w:bookmarkStart w:id="4" w:name="_Toc157418557"/>
      <w:bookmarkStart w:id="5" w:name="_Toc32815540"/>
      <w:bookmarkStart w:id="6" w:name="_Toc125129292"/>
      <w:r>
        <w:rPr>
          <w:rFonts w:hint="eastAsia" w:ascii="仿宋" w:hAnsi="仿宋" w:eastAsia="仿宋"/>
          <w:sz w:val="24"/>
        </w:rPr>
        <w:t xml:space="preserve"> </w:t>
      </w:r>
      <w:r>
        <w:rPr>
          <w:rFonts w:ascii="仿宋" w:hAnsi="仿宋" w:eastAsia="仿宋"/>
          <w:sz w:val="24"/>
        </w:rPr>
        <w:t xml:space="preserve">  </w:t>
      </w:r>
    </w:p>
    <w:p>
      <w:pPr>
        <w:spacing w:line="276" w:lineRule="auto"/>
        <w:jc w:val="left"/>
        <w:rPr>
          <w:rFonts w:ascii="仿宋" w:hAnsi="仿宋" w:eastAsia="仿宋"/>
          <w:sz w:val="24"/>
        </w:rPr>
      </w:pPr>
      <w:r>
        <w:rPr>
          <w:rFonts w:ascii="仿宋" w:hAnsi="仿宋" w:eastAsia="仿宋"/>
          <w:sz w:val="24"/>
        </w:rPr>
        <w:tab/>
      </w:r>
    </w:p>
    <w:p>
      <w:pPr>
        <w:spacing w:line="276" w:lineRule="auto"/>
        <w:jc w:val="left"/>
        <w:rPr>
          <w:rFonts w:ascii="仿宋" w:hAnsi="仿宋" w:eastAsia="仿宋"/>
          <w:sz w:val="24"/>
        </w:rPr>
      </w:pPr>
    </w:p>
    <w:p>
      <w:pPr>
        <w:spacing w:line="276" w:lineRule="auto"/>
        <w:jc w:val="center"/>
        <w:rPr>
          <w:rFonts w:hint="eastAsia" w:ascii="方正小标宋简体" w:hAnsi="方正小标宋简体" w:eastAsia="方正小标宋简体" w:cs="方正小标宋简体"/>
          <w:b/>
          <w:bCs/>
          <w:sz w:val="84"/>
          <w:szCs w:val="84"/>
          <w:lang w:val="zh-CN"/>
        </w:rPr>
      </w:pPr>
      <w:r>
        <w:rPr>
          <w:rFonts w:hint="eastAsia" w:ascii="方正小标宋简体" w:hAnsi="方正小标宋简体" w:eastAsia="方正小标宋简体" w:cs="方正小标宋简体"/>
          <w:b/>
          <w:bCs/>
          <w:sz w:val="84"/>
          <w:szCs w:val="84"/>
          <w:lang w:val="zh-CN"/>
        </w:rPr>
        <w:t>招标文件</w:t>
      </w:r>
    </w:p>
    <w:p>
      <w:pPr>
        <w:spacing w:line="276" w:lineRule="auto"/>
        <w:jc w:val="center"/>
        <w:rPr>
          <w:rFonts w:ascii="仿宋" w:hAnsi="仿宋" w:eastAsia="仿宋"/>
          <w:sz w:val="36"/>
          <w:szCs w:val="36"/>
        </w:rPr>
      </w:pPr>
      <w:bookmarkStart w:id="7" w:name="_Toc342899794"/>
    </w:p>
    <w:p>
      <w:pPr>
        <w:spacing w:line="276" w:lineRule="auto"/>
        <w:jc w:val="center"/>
        <w:rPr>
          <w:rFonts w:ascii="仿宋" w:hAnsi="仿宋" w:eastAsia="仿宋"/>
          <w:sz w:val="36"/>
          <w:szCs w:val="36"/>
        </w:rPr>
      </w:pPr>
    </w:p>
    <w:p>
      <w:pPr>
        <w:spacing w:line="276" w:lineRule="auto"/>
        <w:ind w:firstLine="708" w:firstLineChars="196"/>
        <w:jc w:val="center"/>
        <w:rPr>
          <w:rFonts w:hint="eastAsia" w:ascii="仿宋_GB2312" w:hAnsi="仿宋_GB2312" w:eastAsia="仿宋_GB2312" w:cs="仿宋_GB2312"/>
          <w:b/>
          <w:bCs/>
          <w:sz w:val="36"/>
          <w:szCs w:val="36"/>
          <w:lang w:val="zh-CN"/>
        </w:rPr>
      </w:pPr>
      <w:r>
        <w:rPr>
          <w:rFonts w:hint="eastAsia" w:ascii="仿宋_GB2312" w:hAnsi="仿宋_GB2312" w:eastAsia="仿宋_GB2312" w:cs="仿宋_GB2312"/>
          <w:b/>
          <w:bCs/>
          <w:sz w:val="36"/>
          <w:szCs w:val="36"/>
          <w:lang w:val="zh-CN"/>
        </w:rPr>
        <w:t>项目名称</w:t>
      </w:r>
      <w:bookmarkEnd w:id="7"/>
      <w:r>
        <w:rPr>
          <w:rFonts w:hint="eastAsia" w:ascii="仿宋_GB2312" w:hAnsi="仿宋_GB2312" w:eastAsia="仿宋_GB2312" w:cs="仿宋_GB2312"/>
          <w:b/>
          <w:bCs/>
          <w:sz w:val="36"/>
          <w:szCs w:val="36"/>
          <w:lang w:val="zh-CN"/>
        </w:rPr>
        <w:t>：</w:t>
      </w:r>
      <w:bookmarkStart w:id="8" w:name="_Hlk111028149"/>
      <w:r>
        <w:rPr>
          <w:rFonts w:hint="eastAsia" w:ascii="仿宋_GB2312" w:hAnsi="仿宋_GB2312" w:eastAsia="仿宋_GB2312" w:cs="仿宋_GB2312"/>
          <w:b/>
          <w:bCs/>
          <w:sz w:val="36"/>
          <w:szCs w:val="36"/>
          <w:lang w:val="zh-CN"/>
        </w:rPr>
        <w:t>思明控股</w:t>
      </w:r>
      <w:r>
        <w:rPr>
          <w:rFonts w:hint="eastAsia" w:ascii="仿宋_GB2312" w:hAnsi="仿宋_GB2312" w:eastAsia="仿宋_GB2312" w:cs="仿宋_GB2312"/>
          <w:b/>
          <w:bCs/>
          <w:sz w:val="36"/>
          <w:szCs w:val="36"/>
        </w:rPr>
        <w:t>数据中心</w:t>
      </w:r>
      <w:r>
        <w:rPr>
          <w:rFonts w:hint="eastAsia" w:ascii="仿宋_GB2312" w:hAnsi="仿宋_GB2312" w:eastAsia="仿宋_GB2312" w:cs="仿宋_GB2312"/>
          <w:b/>
          <w:bCs/>
          <w:sz w:val="36"/>
          <w:szCs w:val="36"/>
          <w:lang w:val="zh-CN"/>
        </w:rPr>
        <w:t>临时机房设备采购</w:t>
      </w:r>
      <w:bookmarkEnd w:id="8"/>
    </w:p>
    <w:p>
      <w:pPr>
        <w:spacing w:line="276" w:lineRule="auto"/>
        <w:ind w:firstLine="708" w:firstLineChars="196"/>
        <w:jc w:val="center"/>
        <w:rPr>
          <w:rFonts w:hint="eastAsia" w:ascii="仿宋_GB2312" w:hAnsi="仿宋_GB2312" w:eastAsia="仿宋_GB2312" w:cs="仿宋_GB2312"/>
          <w:b/>
          <w:bCs/>
          <w:sz w:val="36"/>
          <w:szCs w:val="36"/>
          <w:lang w:val="zh-CN"/>
        </w:rPr>
      </w:pPr>
    </w:p>
    <w:p>
      <w:pPr>
        <w:spacing w:line="276" w:lineRule="auto"/>
        <w:ind w:firstLine="708" w:firstLineChars="196"/>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val="zh-CN"/>
        </w:rPr>
        <w:t>项目编号：X</w:t>
      </w:r>
      <w:r>
        <w:rPr>
          <w:rFonts w:hint="eastAsia" w:ascii="仿宋_GB2312" w:hAnsi="仿宋_GB2312" w:eastAsia="仿宋_GB2312" w:cs="仿宋_GB2312"/>
          <w:color w:val="111111"/>
          <w:sz w:val="36"/>
          <w:szCs w:val="36"/>
          <w:shd w:val="clear" w:color="auto" w:fill="FEFEFE"/>
        </w:rPr>
        <w:t>MKYSK-2022002</w:t>
      </w:r>
    </w:p>
    <w:p>
      <w:pPr>
        <w:pStyle w:val="10"/>
        <w:spacing w:line="360" w:lineRule="auto"/>
        <w:jc w:val="center"/>
        <w:rPr>
          <w:rFonts w:hint="eastAsia" w:ascii="仿宋_GB2312" w:hAnsi="仿宋_GB2312" w:eastAsia="仿宋_GB2312" w:cs="仿宋_GB2312"/>
          <w:b/>
          <w:bCs/>
          <w:sz w:val="36"/>
          <w:szCs w:val="36"/>
        </w:rPr>
      </w:pPr>
    </w:p>
    <w:p>
      <w:pPr>
        <w:pStyle w:val="10"/>
        <w:spacing w:line="360" w:lineRule="auto"/>
        <w:ind w:firstLine="708" w:firstLineChars="196"/>
        <w:jc w:val="center"/>
        <w:rPr>
          <w:rFonts w:hint="eastAsia" w:ascii="仿宋_GB2312" w:hAnsi="仿宋_GB2312" w:eastAsia="仿宋_GB2312" w:cs="仿宋_GB2312"/>
          <w:b/>
          <w:bCs/>
          <w:sz w:val="36"/>
          <w:szCs w:val="36"/>
          <w:lang w:val="zh-CN"/>
        </w:rPr>
      </w:pPr>
      <w:r>
        <w:rPr>
          <w:rFonts w:hint="eastAsia" w:ascii="仿宋_GB2312" w:hAnsi="仿宋_GB2312" w:eastAsia="仿宋_GB2312" w:cs="仿宋_GB2312"/>
          <w:b/>
          <w:bCs/>
          <w:sz w:val="36"/>
          <w:szCs w:val="36"/>
          <w:lang w:val="zh-CN"/>
        </w:rPr>
        <w:t>招标人：厦门开元数字科技有限公司</w:t>
      </w:r>
    </w:p>
    <w:p>
      <w:pPr>
        <w:spacing w:line="276" w:lineRule="auto"/>
        <w:ind w:firstLine="1265" w:firstLineChars="350"/>
        <w:jc w:val="center"/>
        <w:rPr>
          <w:rFonts w:hint="eastAsia" w:ascii="仿宋_GB2312" w:hAnsi="仿宋_GB2312" w:eastAsia="仿宋_GB2312" w:cs="仿宋_GB2312"/>
          <w:b/>
          <w:bCs/>
          <w:sz w:val="36"/>
          <w:szCs w:val="36"/>
          <w:lang w:val="zh-CN"/>
        </w:rPr>
      </w:pPr>
    </w:p>
    <w:p>
      <w:pPr>
        <w:spacing w:line="276" w:lineRule="auto"/>
        <w:jc w:val="center"/>
        <w:rPr>
          <w:rFonts w:hint="eastAsia" w:ascii="仿宋_GB2312" w:hAnsi="仿宋_GB2312" w:eastAsia="仿宋_GB2312" w:cs="仿宋_GB2312"/>
          <w:sz w:val="36"/>
          <w:szCs w:val="36"/>
        </w:rPr>
      </w:pPr>
    </w:p>
    <w:p>
      <w:pPr>
        <w:spacing w:line="276" w:lineRule="auto"/>
        <w:jc w:val="center"/>
        <w:rPr>
          <w:rFonts w:hint="eastAsia" w:ascii="仿宋_GB2312" w:hAnsi="仿宋_GB2312" w:eastAsia="仿宋_GB2312" w:cs="仿宋_GB2312"/>
          <w:sz w:val="36"/>
          <w:szCs w:val="36"/>
        </w:rPr>
      </w:pPr>
    </w:p>
    <w:p>
      <w:pPr>
        <w:spacing w:line="276" w:lineRule="auto"/>
        <w:jc w:val="center"/>
        <w:rPr>
          <w:rFonts w:hint="eastAsia" w:ascii="仿宋_GB2312" w:hAnsi="仿宋_GB2312" w:eastAsia="仿宋_GB2312" w:cs="仿宋_GB2312"/>
          <w:sz w:val="36"/>
          <w:szCs w:val="36"/>
        </w:rPr>
      </w:pPr>
    </w:p>
    <w:p>
      <w:pPr>
        <w:spacing w:line="276" w:lineRule="auto"/>
        <w:jc w:val="center"/>
        <w:rPr>
          <w:rFonts w:hint="eastAsia" w:ascii="仿宋_GB2312" w:hAnsi="仿宋_GB2312" w:eastAsia="仿宋_GB2312" w:cs="仿宋_GB2312"/>
          <w:sz w:val="36"/>
          <w:szCs w:val="36"/>
        </w:rPr>
      </w:pPr>
    </w:p>
    <w:p>
      <w:pPr>
        <w:spacing w:line="276" w:lineRule="auto"/>
        <w:jc w:val="center"/>
        <w:rPr>
          <w:rFonts w:hint="eastAsia" w:ascii="仿宋_GB2312" w:hAnsi="仿宋_GB2312" w:eastAsia="仿宋_GB2312" w:cs="仿宋_GB2312"/>
          <w:sz w:val="36"/>
          <w:szCs w:val="36"/>
        </w:rPr>
      </w:pPr>
    </w:p>
    <w:p>
      <w:pPr>
        <w:pStyle w:val="10"/>
        <w:spacing w:line="360" w:lineRule="auto"/>
        <w:jc w:val="center"/>
        <w:rPr>
          <w:rFonts w:hint="eastAsia" w:ascii="仿宋_GB2312" w:hAnsi="仿宋_GB2312" w:eastAsia="仿宋_GB2312" w:cs="仿宋_GB2312"/>
          <w:b/>
          <w:bCs/>
          <w:sz w:val="36"/>
          <w:szCs w:val="36"/>
          <w:lang w:val="zh-CN"/>
        </w:rPr>
      </w:pPr>
      <w:r>
        <w:rPr>
          <w:rFonts w:hint="eastAsia" w:ascii="仿宋_GB2312" w:hAnsi="仿宋_GB2312" w:eastAsia="仿宋_GB2312" w:cs="仿宋_GB2312"/>
          <w:b/>
          <w:bCs/>
          <w:sz w:val="36"/>
          <w:szCs w:val="36"/>
          <w:lang w:val="zh-CN"/>
        </w:rPr>
        <w:t>厦门开元数字科技有限公司</w:t>
      </w:r>
    </w:p>
    <w:p>
      <w:pPr>
        <w:spacing w:line="276" w:lineRule="auto"/>
        <w:jc w:val="center"/>
        <w:rPr>
          <w:rFonts w:hint="eastAsia" w:ascii="仿宋_GB2312" w:hAnsi="仿宋_GB2312" w:eastAsia="仿宋_GB2312" w:cs="仿宋_GB2312"/>
          <w:b/>
          <w:bCs/>
          <w:sz w:val="36"/>
          <w:szCs w:val="36"/>
        </w:rPr>
      </w:pPr>
      <w:r>
        <w:rPr>
          <w:rFonts w:hint="eastAsia" w:ascii="仿宋_GB2312" w:hAnsi="仿宋_GB2312" w:eastAsia="仿宋_GB2312" w:cs="仿宋_GB2312"/>
          <w:b/>
          <w:sz w:val="36"/>
          <w:szCs w:val="36"/>
        </w:rPr>
        <w:t>2022年8月</w:t>
      </w:r>
    </w:p>
    <w:p>
      <w:pPr>
        <w:pStyle w:val="17"/>
        <w:shd w:val="clear" w:color="auto" w:fill="FFFFFF"/>
        <w:spacing w:line="600" w:lineRule="atLeast"/>
        <w:ind w:firstLine="540" w:firstLineChars="150"/>
        <w:jc w:val="center"/>
        <w:rPr>
          <w:rFonts w:ascii="仿宋" w:hAnsi="仿宋" w:eastAsia="仿宋"/>
          <w:sz w:val="36"/>
          <w:szCs w:val="36"/>
        </w:rPr>
      </w:pPr>
    </w:p>
    <w:p>
      <w:pPr>
        <w:pStyle w:val="17"/>
        <w:shd w:val="clear" w:color="auto" w:fill="FFFFFF"/>
        <w:spacing w:line="600" w:lineRule="atLeast"/>
        <w:ind w:firstLine="540" w:firstLineChars="150"/>
        <w:jc w:val="center"/>
        <w:rPr>
          <w:rFonts w:ascii="仿宋" w:hAnsi="仿宋" w:eastAsia="仿宋"/>
          <w:sz w:val="36"/>
          <w:szCs w:val="36"/>
        </w:rPr>
      </w:pPr>
    </w:p>
    <w:p>
      <w:pPr>
        <w:pStyle w:val="17"/>
        <w:shd w:val="clear" w:color="auto" w:fill="FFFFFF"/>
        <w:spacing w:line="600" w:lineRule="atLeast"/>
        <w:ind w:firstLine="540" w:firstLineChars="150"/>
        <w:jc w:val="center"/>
        <w:rPr>
          <w:rFonts w:ascii="仿宋" w:hAnsi="仿宋" w:eastAsia="仿宋"/>
          <w:sz w:val="36"/>
          <w:szCs w:val="36"/>
        </w:rPr>
      </w:pPr>
    </w:p>
    <w:p>
      <w:pPr>
        <w:pStyle w:val="17"/>
        <w:shd w:val="clear" w:color="auto" w:fill="FFFFFF"/>
        <w:spacing w:line="600" w:lineRule="atLeast"/>
        <w:ind w:firstLine="540" w:firstLineChars="150"/>
        <w:jc w:val="center"/>
        <w:rPr>
          <w:rFonts w:ascii="仿宋" w:hAnsi="仿宋" w:eastAsia="仿宋"/>
          <w:sz w:val="36"/>
          <w:szCs w:val="36"/>
        </w:rPr>
      </w:pPr>
    </w:p>
    <w:p>
      <w:pPr>
        <w:pStyle w:val="17"/>
        <w:shd w:val="clear" w:color="auto" w:fill="FFFFFF"/>
        <w:spacing w:line="600" w:lineRule="atLeast"/>
        <w:ind w:firstLine="540" w:firstLineChars="150"/>
        <w:jc w:val="center"/>
        <w:rPr>
          <w:rFonts w:ascii="仿宋" w:hAnsi="仿宋" w:eastAsia="仿宋"/>
          <w:sz w:val="36"/>
          <w:szCs w:val="36"/>
        </w:rPr>
      </w:pPr>
    </w:p>
    <w:p>
      <w:pPr>
        <w:pStyle w:val="10"/>
        <w:spacing w:line="360" w:lineRule="auto"/>
        <w:ind w:firstLine="420"/>
        <w:jc w:val="center"/>
        <w:rPr>
          <w:rFonts w:ascii="仿宋" w:hAnsi="仿宋" w:eastAsia="仿宋" w:cs="仿宋"/>
          <w:b/>
          <w:bCs/>
          <w:sz w:val="44"/>
          <w:szCs w:val="44"/>
        </w:rPr>
      </w:pPr>
      <w:r>
        <w:rPr>
          <w:rFonts w:hint="eastAsia" w:ascii="仿宋" w:hAnsi="仿宋" w:eastAsia="仿宋" w:cs="仿宋"/>
          <w:b/>
          <w:bCs/>
          <w:sz w:val="44"/>
          <w:szCs w:val="44"/>
        </w:rPr>
        <w:t>目    录</w:t>
      </w:r>
      <w:bookmarkEnd w:id="0"/>
      <w:bookmarkEnd w:id="1"/>
      <w:bookmarkEnd w:id="2"/>
      <w:bookmarkEnd w:id="3"/>
      <w:bookmarkEnd w:id="4"/>
    </w:p>
    <w:p>
      <w:pPr>
        <w:pStyle w:val="15"/>
        <w:tabs>
          <w:tab w:val="right" w:leader="dot" w:pos="9061"/>
        </w:tabs>
        <w:rPr>
          <w:rFonts w:ascii="仿宋" w:hAnsi="仿宋" w:eastAsia="仿宋" w:cstheme="minorBidi"/>
          <w:b w:val="0"/>
          <w:bCs w:val="0"/>
          <w:caps w:val="0"/>
          <w:sz w:val="22"/>
          <w:szCs w:val="24"/>
        </w:rPr>
      </w:pPr>
      <w:r>
        <w:rPr>
          <w:rFonts w:ascii="仿宋" w:hAnsi="仿宋" w:eastAsia="仿宋"/>
          <w:sz w:val="32"/>
          <w:szCs w:val="32"/>
        </w:rPr>
        <w:fldChar w:fldCharType="begin"/>
      </w:r>
      <w:r>
        <w:rPr>
          <w:rFonts w:ascii="仿宋" w:hAnsi="仿宋" w:eastAsia="仿宋"/>
          <w:sz w:val="32"/>
          <w:szCs w:val="32"/>
        </w:rPr>
        <w:instrText xml:space="preserve"> TOC \o "1-3" \h \z \u </w:instrText>
      </w:r>
      <w:r>
        <w:rPr>
          <w:rFonts w:ascii="仿宋" w:hAnsi="仿宋" w:eastAsia="仿宋"/>
          <w:sz w:val="32"/>
          <w:szCs w:val="32"/>
        </w:rPr>
        <w:fldChar w:fldCharType="separate"/>
      </w:r>
      <w:r>
        <w:fldChar w:fldCharType="begin"/>
      </w:r>
      <w:r>
        <w:instrText xml:space="preserve"> HYPERLINK \l "_Toc26017120" </w:instrText>
      </w:r>
      <w:r>
        <w:fldChar w:fldCharType="separate"/>
      </w:r>
      <w:r>
        <w:rPr>
          <w:rStyle w:val="25"/>
          <w:rFonts w:ascii="仿宋" w:hAnsi="仿宋" w:eastAsia="仿宋" w:cs="仿宋"/>
          <w:color w:val="auto"/>
          <w:kern w:val="0"/>
          <w:sz w:val="28"/>
          <w:szCs w:val="21"/>
        </w:rPr>
        <w:t>第一章　招标公告</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_Toc26017120 \h </w:instrText>
      </w:r>
      <w:r>
        <w:rPr>
          <w:rFonts w:ascii="仿宋" w:hAnsi="仿宋" w:eastAsia="仿宋"/>
          <w:sz w:val="28"/>
          <w:szCs w:val="21"/>
        </w:rPr>
        <w:fldChar w:fldCharType="separate"/>
      </w:r>
      <w:r>
        <w:rPr>
          <w:rFonts w:ascii="仿宋" w:hAnsi="仿宋" w:eastAsia="仿宋"/>
          <w:sz w:val="28"/>
          <w:szCs w:val="21"/>
        </w:rPr>
        <w:t>4</w:t>
      </w:r>
      <w:r>
        <w:rPr>
          <w:rFonts w:ascii="仿宋" w:hAnsi="仿宋" w:eastAsia="仿宋"/>
          <w:sz w:val="28"/>
          <w:szCs w:val="21"/>
        </w:rPr>
        <w:fldChar w:fldCharType="end"/>
      </w:r>
      <w:r>
        <w:rPr>
          <w:rFonts w:ascii="仿宋" w:hAnsi="仿宋" w:eastAsia="仿宋"/>
          <w:sz w:val="28"/>
          <w:szCs w:val="21"/>
        </w:rPr>
        <w:fldChar w:fldCharType="end"/>
      </w:r>
    </w:p>
    <w:p>
      <w:pPr>
        <w:pStyle w:val="15"/>
        <w:tabs>
          <w:tab w:val="right" w:leader="dot" w:pos="9061"/>
        </w:tabs>
        <w:rPr>
          <w:rFonts w:ascii="仿宋" w:hAnsi="仿宋" w:eastAsia="仿宋" w:cstheme="minorBidi"/>
          <w:b w:val="0"/>
          <w:bCs w:val="0"/>
          <w:caps w:val="0"/>
          <w:sz w:val="22"/>
          <w:szCs w:val="24"/>
        </w:rPr>
      </w:pPr>
      <w:r>
        <w:fldChar w:fldCharType="begin"/>
      </w:r>
      <w:r>
        <w:instrText xml:space="preserve"> HYPERLINK \l "_Toc26017121" </w:instrText>
      </w:r>
      <w:r>
        <w:fldChar w:fldCharType="separate"/>
      </w:r>
      <w:r>
        <w:rPr>
          <w:rStyle w:val="25"/>
          <w:rFonts w:ascii="仿宋" w:hAnsi="仿宋" w:eastAsia="仿宋"/>
          <w:color w:val="auto"/>
          <w:sz w:val="28"/>
          <w:szCs w:val="21"/>
        </w:rPr>
        <w:t>附：招标项目一览表</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_Toc26017121 \h </w:instrText>
      </w:r>
      <w:r>
        <w:rPr>
          <w:rFonts w:ascii="仿宋" w:hAnsi="仿宋" w:eastAsia="仿宋"/>
          <w:sz w:val="28"/>
          <w:szCs w:val="21"/>
        </w:rPr>
        <w:fldChar w:fldCharType="separate"/>
      </w:r>
      <w:r>
        <w:rPr>
          <w:rFonts w:ascii="仿宋" w:hAnsi="仿宋" w:eastAsia="仿宋"/>
          <w:sz w:val="28"/>
          <w:szCs w:val="21"/>
        </w:rPr>
        <w:t>5</w:t>
      </w:r>
      <w:r>
        <w:rPr>
          <w:rFonts w:ascii="仿宋" w:hAnsi="仿宋" w:eastAsia="仿宋"/>
          <w:sz w:val="28"/>
          <w:szCs w:val="21"/>
        </w:rPr>
        <w:fldChar w:fldCharType="end"/>
      </w:r>
      <w:r>
        <w:rPr>
          <w:rFonts w:ascii="仿宋" w:hAnsi="仿宋" w:eastAsia="仿宋"/>
          <w:sz w:val="28"/>
          <w:szCs w:val="21"/>
        </w:rPr>
        <w:fldChar w:fldCharType="end"/>
      </w:r>
    </w:p>
    <w:p>
      <w:pPr>
        <w:pStyle w:val="15"/>
        <w:tabs>
          <w:tab w:val="right" w:leader="dot" w:pos="9061"/>
        </w:tabs>
        <w:rPr>
          <w:rFonts w:ascii="仿宋" w:hAnsi="仿宋" w:eastAsia="仿宋" w:cstheme="minorBidi"/>
          <w:b w:val="0"/>
          <w:bCs w:val="0"/>
          <w:caps w:val="0"/>
          <w:sz w:val="22"/>
          <w:szCs w:val="24"/>
        </w:rPr>
      </w:pPr>
      <w:r>
        <w:fldChar w:fldCharType="begin"/>
      </w:r>
      <w:r>
        <w:instrText xml:space="preserve"> HYPERLINK \l "_Toc26017122" </w:instrText>
      </w:r>
      <w:r>
        <w:fldChar w:fldCharType="separate"/>
      </w:r>
      <w:r>
        <w:rPr>
          <w:rStyle w:val="25"/>
          <w:rFonts w:ascii="仿宋" w:hAnsi="仿宋" w:eastAsia="仿宋" w:cs="仿宋"/>
          <w:color w:val="auto"/>
          <w:kern w:val="0"/>
          <w:sz w:val="28"/>
          <w:szCs w:val="21"/>
        </w:rPr>
        <w:t>第二章　投标人须知</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_Toc26017122 \h </w:instrText>
      </w:r>
      <w:r>
        <w:rPr>
          <w:rFonts w:ascii="仿宋" w:hAnsi="仿宋" w:eastAsia="仿宋"/>
          <w:sz w:val="28"/>
          <w:szCs w:val="21"/>
        </w:rPr>
        <w:fldChar w:fldCharType="separate"/>
      </w:r>
      <w:r>
        <w:rPr>
          <w:rFonts w:ascii="仿宋" w:hAnsi="仿宋" w:eastAsia="仿宋"/>
          <w:sz w:val="28"/>
          <w:szCs w:val="21"/>
        </w:rPr>
        <w:t>7</w:t>
      </w:r>
      <w:r>
        <w:rPr>
          <w:rFonts w:ascii="仿宋" w:hAnsi="仿宋" w:eastAsia="仿宋"/>
          <w:sz w:val="28"/>
          <w:szCs w:val="21"/>
        </w:rPr>
        <w:fldChar w:fldCharType="end"/>
      </w:r>
      <w:r>
        <w:rPr>
          <w:rFonts w:ascii="仿宋" w:hAnsi="仿宋" w:eastAsia="仿宋"/>
          <w:sz w:val="28"/>
          <w:szCs w:val="21"/>
        </w:rPr>
        <w:fldChar w:fldCharType="end"/>
      </w:r>
    </w:p>
    <w:p>
      <w:pPr>
        <w:pStyle w:val="16"/>
        <w:tabs>
          <w:tab w:val="right" w:leader="dot" w:pos="9061"/>
        </w:tabs>
        <w:rPr>
          <w:rFonts w:ascii="仿宋" w:hAnsi="仿宋" w:eastAsia="仿宋" w:cstheme="minorBidi"/>
          <w:smallCaps w:val="0"/>
          <w:sz w:val="22"/>
          <w:szCs w:val="24"/>
        </w:rPr>
      </w:pPr>
      <w:r>
        <w:fldChar w:fldCharType="begin"/>
      </w:r>
      <w:r>
        <w:instrText xml:space="preserve"> HYPERLINK \l "_Toc26017123" </w:instrText>
      </w:r>
      <w:r>
        <w:fldChar w:fldCharType="separate"/>
      </w:r>
      <w:r>
        <w:rPr>
          <w:rStyle w:val="25"/>
          <w:rFonts w:ascii="仿宋" w:hAnsi="仿宋" w:eastAsia="仿宋"/>
          <w:color w:val="auto"/>
          <w:sz w:val="28"/>
          <w:szCs w:val="21"/>
        </w:rPr>
        <w:t>第一节  说  明</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_Toc26017123 \h </w:instrText>
      </w:r>
      <w:r>
        <w:rPr>
          <w:rFonts w:ascii="仿宋" w:hAnsi="仿宋" w:eastAsia="仿宋"/>
          <w:sz w:val="28"/>
          <w:szCs w:val="21"/>
        </w:rPr>
        <w:fldChar w:fldCharType="separate"/>
      </w:r>
      <w:r>
        <w:rPr>
          <w:rFonts w:ascii="仿宋" w:hAnsi="仿宋" w:eastAsia="仿宋"/>
          <w:sz w:val="28"/>
          <w:szCs w:val="21"/>
        </w:rPr>
        <w:t>9</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"_Toc26017124" </w:instrText>
      </w:r>
      <w:r>
        <w:fldChar w:fldCharType="separate"/>
      </w:r>
      <w:r>
        <w:rPr>
          <w:rStyle w:val="25"/>
          <w:rFonts w:ascii="仿宋" w:hAnsi="仿宋" w:eastAsia="仿宋"/>
          <w:color w:val="auto"/>
          <w:sz w:val="28"/>
          <w:szCs w:val="21"/>
        </w:rPr>
        <w:t>1. 适用范围</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_Toc26017124 \h </w:instrText>
      </w:r>
      <w:r>
        <w:rPr>
          <w:rFonts w:ascii="仿宋" w:hAnsi="仿宋" w:eastAsia="仿宋"/>
          <w:sz w:val="28"/>
          <w:szCs w:val="21"/>
        </w:rPr>
        <w:fldChar w:fldCharType="separate"/>
      </w:r>
      <w:r>
        <w:rPr>
          <w:rFonts w:ascii="仿宋" w:hAnsi="仿宋" w:eastAsia="仿宋"/>
          <w:sz w:val="28"/>
          <w:szCs w:val="21"/>
        </w:rPr>
        <w:t>9</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"_Toc26017125" </w:instrText>
      </w:r>
      <w:r>
        <w:fldChar w:fldCharType="separate"/>
      </w:r>
      <w:r>
        <w:rPr>
          <w:rStyle w:val="25"/>
          <w:rFonts w:ascii="仿宋" w:hAnsi="仿宋" w:eastAsia="仿宋"/>
          <w:color w:val="auto"/>
          <w:sz w:val="28"/>
          <w:szCs w:val="21"/>
        </w:rPr>
        <w:t>2. 定义</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_Toc26017125 \h </w:instrText>
      </w:r>
      <w:r>
        <w:rPr>
          <w:rFonts w:ascii="仿宋" w:hAnsi="仿宋" w:eastAsia="仿宋"/>
          <w:sz w:val="28"/>
          <w:szCs w:val="21"/>
        </w:rPr>
        <w:fldChar w:fldCharType="separate"/>
      </w:r>
      <w:r>
        <w:rPr>
          <w:rFonts w:ascii="仿宋" w:hAnsi="仿宋" w:eastAsia="仿宋"/>
          <w:sz w:val="28"/>
          <w:szCs w:val="21"/>
        </w:rPr>
        <w:t>9</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"_Toc26017126" </w:instrText>
      </w:r>
      <w:r>
        <w:fldChar w:fldCharType="separate"/>
      </w:r>
      <w:r>
        <w:rPr>
          <w:rStyle w:val="25"/>
          <w:rFonts w:ascii="仿宋" w:hAnsi="仿宋" w:eastAsia="仿宋"/>
          <w:color w:val="auto"/>
          <w:sz w:val="28"/>
          <w:szCs w:val="21"/>
        </w:rPr>
        <w:t>3. 合格的投标人</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_Toc26017126 \h </w:instrText>
      </w:r>
      <w:r>
        <w:rPr>
          <w:rFonts w:ascii="仿宋" w:hAnsi="仿宋" w:eastAsia="仿宋"/>
          <w:sz w:val="28"/>
          <w:szCs w:val="21"/>
        </w:rPr>
        <w:fldChar w:fldCharType="separate"/>
      </w:r>
      <w:r>
        <w:rPr>
          <w:rFonts w:ascii="仿宋" w:hAnsi="仿宋" w:eastAsia="仿宋"/>
          <w:sz w:val="28"/>
          <w:szCs w:val="21"/>
        </w:rPr>
        <w:t>9</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"_Toc26017127" </w:instrText>
      </w:r>
      <w:r>
        <w:fldChar w:fldCharType="separate"/>
      </w:r>
      <w:r>
        <w:rPr>
          <w:rStyle w:val="25"/>
          <w:rFonts w:ascii="仿宋" w:hAnsi="仿宋" w:eastAsia="仿宋"/>
          <w:color w:val="auto"/>
          <w:sz w:val="28"/>
          <w:szCs w:val="21"/>
        </w:rPr>
        <w:t>4. 投标费用</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_Toc26017127 \h </w:instrText>
      </w:r>
      <w:r>
        <w:rPr>
          <w:rFonts w:ascii="仿宋" w:hAnsi="仿宋" w:eastAsia="仿宋"/>
          <w:sz w:val="28"/>
          <w:szCs w:val="21"/>
        </w:rPr>
        <w:fldChar w:fldCharType="separate"/>
      </w:r>
      <w:r>
        <w:rPr>
          <w:rFonts w:ascii="仿宋" w:hAnsi="仿宋" w:eastAsia="仿宋"/>
          <w:sz w:val="28"/>
          <w:szCs w:val="21"/>
        </w:rPr>
        <w:t>10</w:t>
      </w:r>
      <w:r>
        <w:rPr>
          <w:rFonts w:ascii="仿宋" w:hAnsi="仿宋" w:eastAsia="仿宋"/>
          <w:sz w:val="28"/>
          <w:szCs w:val="21"/>
        </w:rPr>
        <w:fldChar w:fldCharType="end"/>
      </w:r>
      <w:r>
        <w:rPr>
          <w:rFonts w:ascii="仿宋" w:hAnsi="仿宋" w:eastAsia="仿宋"/>
          <w:sz w:val="28"/>
          <w:szCs w:val="21"/>
        </w:rPr>
        <w:fldChar w:fldCharType="end"/>
      </w:r>
    </w:p>
    <w:p>
      <w:pPr>
        <w:pStyle w:val="16"/>
        <w:tabs>
          <w:tab w:val="right" w:leader="dot" w:pos="9061"/>
        </w:tabs>
        <w:rPr>
          <w:rFonts w:ascii="仿宋" w:hAnsi="仿宋" w:eastAsia="仿宋" w:cstheme="minorBidi"/>
          <w:smallCaps w:val="0"/>
          <w:sz w:val="22"/>
          <w:szCs w:val="24"/>
        </w:rPr>
      </w:pPr>
      <w:r>
        <w:fldChar w:fldCharType="begin"/>
      </w:r>
      <w:r>
        <w:instrText xml:space="preserve"> HYPERLINK \l "_Toc26017128" </w:instrText>
      </w:r>
      <w:r>
        <w:fldChar w:fldCharType="separate"/>
      </w:r>
      <w:r>
        <w:rPr>
          <w:rStyle w:val="25"/>
          <w:rFonts w:ascii="仿宋" w:hAnsi="仿宋" w:eastAsia="仿宋"/>
          <w:color w:val="auto"/>
          <w:sz w:val="28"/>
          <w:szCs w:val="21"/>
        </w:rPr>
        <w:t>第二节  招标文件说明</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_Toc26017128 \h </w:instrText>
      </w:r>
      <w:r>
        <w:rPr>
          <w:rFonts w:ascii="仿宋" w:hAnsi="仿宋" w:eastAsia="仿宋"/>
          <w:sz w:val="28"/>
          <w:szCs w:val="21"/>
        </w:rPr>
        <w:fldChar w:fldCharType="separate"/>
      </w:r>
      <w:r>
        <w:rPr>
          <w:rFonts w:ascii="仿宋" w:hAnsi="仿宋" w:eastAsia="仿宋"/>
          <w:sz w:val="28"/>
          <w:szCs w:val="21"/>
        </w:rPr>
        <w:t>10</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"_Toc26017129" </w:instrText>
      </w:r>
      <w:r>
        <w:fldChar w:fldCharType="separate"/>
      </w:r>
      <w:r>
        <w:rPr>
          <w:rStyle w:val="25"/>
          <w:rFonts w:ascii="仿宋" w:hAnsi="仿宋" w:eastAsia="仿宋"/>
          <w:color w:val="auto"/>
          <w:sz w:val="28"/>
          <w:szCs w:val="21"/>
        </w:rPr>
        <w:t>5. 招标文件的组成</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_Toc26017129 \h </w:instrText>
      </w:r>
      <w:r>
        <w:rPr>
          <w:rFonts w:ascii="仿宋" w:hAnsi="仿宋" w:eastAsia="仿宋"/>
          <w:sz w:val="28"/>
          <w:szCs w:val="21"/>
        </w:rPr>
        <w:fldChar w:fldCharType="separate"/>
      </w:r>
      <w:r>
        <w:rPr>
          <w:rFonts w:ascii="仿宋" w:hAnsi="仿宋" w:eastAsia="仿宋"/>
          <w:sz w:val="28"/>
          <w:szCs w:val="21"/>
        </w:rPr>
        <w:t>10</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"_Toc26017130" </w:instrText>
      </w:r>
      <w:r>
        <w:fldChar w:fldCharType="separate"/>
      </w:r>
      <w:r>
        <w:rPr>
          <w:rStyle w:val="25"/>
          <w:rFonts w:ascii="仿宋" w:hAnsi="仿宋" w:eastAsia="仿宋"/>
          <w:color w:val="auto"/>
          <w:sz w:val="28"/>
          <w:szCs w:val="21"/>
        </w:rPr>
        <w:t>6. 招标文件的澄清</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_Toc26017130 \h </w:instrText>
      </w:r>
      <w:r>
        <w:rPr>
          <w:rFonts w:ascii="仿宋" w:hAnsi="仿宋" w:eastAsia="仿宋"/>
          <w:sz w:val="28"/>
          <w:szCs w:val="21"/>
        </w:rPr>
        <w:fldChar w:fldCharType="separate"/>
      </w:r>
      <w:r>
        <w:rPr>
          <w:rFonts w:ascii="仿宋" w:hAnsi="仿宋" w:eastAsia="仿宋"/>
          <w:sz w:val="28"/>
          <w:szCs w:val="21"/>
        </w:rPr>
        <w:t>10</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"_Toc26017131" </w:instrText>
      </w:r>
      <w:r>
        <w:fldChar w:fldCharType="separate"/>
      </w:r>
      <w:r>
        <w:rPr>
          <w:rStyle w:val="25"/>
          <w:rFonts w:ascii="仿宋" w:hAnsi="仿宋" w:eastAsia="仿宋"/>
          <w:color w:val="auto"/>
          <w:sz w:val="28"/>
          <w:szCs w:val="21"/>
        </w:rPr>
        <w:t>7. 招标文件的修改</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_Toc26017131 \h </w:instrText>
      </w:r>
      <w:r>
        <w:rPr>
          <w:rFonts w:ascii="仿宋" w:hAnsi="仿宋" w:eastAsia="仿宋"/>
          <w:sz w:val="28"/>
          <w:szCs w:val="21"/>
        </w:rPr>
        <w:fldChar w:fldCharType="separate"/>
      </w:r>
      <w:r>
        <w:rPr>
          <w:rFonts w:ascii="仿宋" w:hAnsi="仿宋" w:eastAsia="仿宋"/>
          <w:sz w:val="28"/>
          <w:szCs w:val="21"/>
        </w:rPr>
        <w:t>11</w:t>
      </w:r>
      <w:r>
        <w:rPr>
          <w:rFonts w:ascii="仿宋" w:hAnsi="仿宋" w:eastAsia="仿宋"/>
          <w:sz w:val="28"/>
          <w:szCs w:val="21"/>
        </w:rPr>
        <w:fldChar w:fldCharType="end"/>
      </w:r>
      <w:r>
        <w:rPr>
          <w:rFonts w:ascii="仿宋" w:hAnsi="仿宋" w:eastAsia="仿宋"/>
          <w:sz w:val="28"/>
          <w:szCs w:val="21"/>
        </w:rPr>
        <w:fldChar w:fldCharType="end"/>
      </w:r>
    </w:p>
    <w:p>
      <w:pPr>
        <w:pStyle w:val="16"/>
        <w:tabs>
          <w:tab w:val="right" w:leader="dot" w:pos="9061"/>
        </w:tabs>
        <w:rPr>
          <w:rFonts w:ascii="仿宋" w:hAnsi="仿宋" w:eastAsia="仿宋" w:cstheme="minorBidi"/>
          <w:smallCaps w:val="0"/>
          <w:sz w:val="22"/>
          <w:szCs w:val="24"/>
        </w:rPr>
      </w:pPr>
      <w:r>
        <w:fldChar w:fldCharType="begin"/>
      </w:r>
      <w:r>
        <w:instrText xml:space="preserve"> HYPERLINK \l "_Toc26017132" </w:instrText>
      </w:r>
      <w:r>
        <w:fldChar w:fldCharType="separate"/>
      </w:r>
      <w:r>
        <w:rPr>
          <w:rStyle w:val="25"/>
          <w:rFonts w:ascii="仿宋" w:hAnsi="仿宋" w:eastAsia="仿宋"/>
          <w:color w:val="auto"/>
          <w:sz w:val="28"/>
          <w:szCs w:val="21"/>
        </w:rPr>
        <w:t>第三节  投标文件的编写</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_Toc26017132 \h </w:instrText>
      </w:r>
      <w:r>
        <w:rPr>
          <w:rFonts w:ascii="仿宋" w:hAnsi="仿宋" w:eastAsia="仿宋"/>
          <w:sz w:val="28"/>
          <w:szCs w:val="21"/>
        </w:rPr>
        <w:fldChar w:fldCharType="separate"/>
      </w:r>
      <w:r>
        <w:rPr>
          <w:rFonts w:ascii="仿宋" w:hAnsi="仿宋" w:eastAsia="仿宋"/>
          <w:sz w:val="28"/>
          <w:szCs w:val="21"/>
        </w:rPr>
        <w:t>11</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"_Toc26017133" </w:instrText>
      </w:r>
      <w:r>
        <w:fldChar w:fldCharType="separate"/>
      </w:r>
      <w:r>
        <w:rPr>
          <w:rStyle w:val="25"/>
          <w:rFonts w:ascii="仿宋" w:hAnsi="仿宋" w:eastAsia="仿宋"/>
          <w:color w:val="auto"/>
          <w:sz w:val="28"/>
          <w:szCs w:val="21"/>
        </w:rPr>
        <w:t>8. 要求</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_Toc26017133 \h </w:instrText>
      </w:r>
      <w:r>
        <w:rPr>
          <w:rFonts w:ascii="仿宋" w:hAnsi="仿宋" w:eastAsia="仿宋"/>
          <w:sz w:val="28"/>
          <w:szCs w:val="21"/>
        </w:rPr>
        <w:fldChar w:fldCharType="separate"/>
      </w:r>
      <w:r>
        <w:rPr>
          <w:rFonts w:ascii="仿宋" w:hAnsi="仿宋" w:eastAsia="仿宋"/>
          <w:sz w:val="28"/>
          <w:szCs w:val="21"/>
        </w:rPr>
        <w:t>11</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"_Toc26017134" </w:instrText>
      </w:r>
      <w:r>
        <w:fldChar w:fldCharType="separate"/>
      </w:r>
      <w:r>
        <w:rPr>
          <w:rStyle w:val="25"/>
          <w:rFonts w:ascii="仿宋" w:hAnsi="仿宋" w:eastAsia="仿宋"/>
          <w:color w:val="auto"/>
          <w:sz w:val="28"/>
          <w:szCs w:val="21"/>
        </w:rPr>
        <w:t>9. 投标文件语言</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_Toc26017134 \h </w:instrText>
      </w:r>
      <w:r>
        <w:rPr>
          <w:rFonts w:ascii="仿宋" w:hAnsi="仿宋" w:eastAsia="仿宋"/>
          <w:sz w:val="28"/>
          <w:szCs w:val="21"/>
        </w:rPr>
        <w:fldChar w:fldCharType="separate"/>
      </w:r>
      <w:r>
        <w:rPr>
          <w:rFonts w:ascii="仿宋" w:hAnsi="仿宋" w:eastAsia="仿宋"/>
          <w:sz w:val="28"/>
          <w:szCs w:val="21"/>
        </w:rPr>
        <w:t>11</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"_Toc26017135" </w:instrText>
      </w:r>
      <w:r>
        <w:fldChar w:fldCharType="separate"/>
      </w:r>
      <w:r>
        <w:rPr>
          <w:rStyle w:val="25"/>
          <w:rFonts w:ascii="仿宋" w:hAnsi="仿宋" w:eastAsia="仿宋"/>
          <w:color w:val="auto"/>
          <w:sz w:val="28"/>
          <w:szCs w:val="21"/>
        </w:rPr>
        <w:t>10. 投标文件的组成</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_Toc26017135 \h </w:instrText>
      </w:r>
      <w:r>
        <w:rPr>
          <w:rFonts w:ascii="仿宋" w:hAnsi="仿宋" w:eastAsia="仿宋"/>
          <w:sz w:val="28"/>
          <w:szCs w:val="21"/>
        </w:rPr>
        <w:fldChar w:fldCharType="separate"/>
      </w:r>
      <w:r>
        <w:rPr>
          <w:rFonts w:ascii="仿宋" w:hAnsi="仿宋" w:eastAsia="仿宋"/>
          <w:sz w:val="28"/>
          <w:szCs w:val="21"/>
        </w:rPr>
        <w:t>12</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"_Toc26017136" </w:instrText>
      </w:r>
      <w:r>
        <w:fldChar w:fldCharType="separate"/>
      </w:r>
      <w:r>
        <w:rPr>
          <w:rStyle w:val="25"/>
          <w:rFonts w:ascii="仿宋" w:hAnsi="仿宋" w:eastAsia="仿宋"/>
          <w:color w:val="auto"/>
          <w:sz w:val="28"/>
          <w:szCs w:val="21"/>
        </w:rPr>
        <w:t>11. 投标有效期</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_Toc26017136 \h </w:instrText>
      </w:r>
      <w:r>
        <w:rPr>
          <w:rFonts w:ascii="仿宋" w:hAnsi="仿宋" w:eastAsia="仿宋"/>
          <w:sz w:val="28"/>
          <w:szCs w:val="21"/>
        </w:rPr>
        <w:fldChar w:fldCharType="separate"/>
      </w:r>
      <w:r>
        <w:rPr>
          <w:rFonts w:ascii="仿宋" w:hAnsi="仿宋" w:eastAsia="仿宋"/>
          <w:sz w:val="28"/>
          <w:szCs w:val="21"/>
        </w:rPr>
        <w:t>12</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"_Toc26017137" </w:instrText>
      </w:r>
      <w:r>
        <w:fldChar w:fldCharType="separate"/>
      </w:r>
      <w:r>
        <w:rPr>
          <w:rStyle w:val="25"/>
          <w:rFonts w:ascii="仿宋" w:hAnsi="仿宋" w:eastAsia="仿宋"/>
          <w:color w:val="auto"/>
          <w:sz w:val="28"/>
          <w:szCs w:val="21"/>
        </w:rPr>
        <w:t>12. 投标保证金</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_Toc26017137 \h </w:instrText>
      </w:r>
      <w:r>
        <w:rPr>
          <w:rFonts w:ascii="仿宋" w:hAnsi="仿宋" w:eastAsia="仿宋"/>
          <w:sz w:val="28"/>
          <w:szCs w:val="21"/>
        </w:rPr>
        <w:fldChar w:fldCharType="separate"/>
      </w:r>
      <w:r>
        <w:rPr>
          <w:rFonts w:ascii="仿宋" w:hAnsi="仿宋" w:eastAsia="仿宋"/>
          <w:sz w:val="28"/>
          <w:szCs w:val="21"/>
        </w:rPr>
        <w:t>12</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"_Toc26017138" </w:instrText>
      </w:r>
      <w:r>
        <w:fldChar w:fldCharType="separate"/>
      </w:r>
      <w:r>
        <w:rPr>
          <w:rStyle w:val="25"/>
          <w:rFonts w:ascii="仿宋" w:hAnsi="仿宋" w:eastAsia="仿宋"/>
          <w:color w:val="auto"/>
          <w:sz w:val="28"/>
          <w:szCs w:val="21"/>
        </w:rPr>
        <w:t>13. 投标文件的格式</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_Toc26017138 \h </w:instrText>
      </w:r>
      <w:r>
        <w:rPr>
          <w:rFonts w:ascii="仿宋" w:hAnsi="仿宋" w:eastAsia="仿宋"/>
          <w:sz w:val="28"/>
          <w:szCs w:val="21"/>
        </w:rPr>
        <w:fldChar w:fldCharType="separate"/>
      </w:r>
      <w:r>
        <w:rPr>
          <w:rFonts w:ascii="仿宋" w:hAnsi="仿宋" w:eastAsia="仿宋"/>
          <w:sz w:val="28"/>
          <w:szCs w:val="21"/>
        </w:rPr>
        <w:t>13</w:t>
      </w:r>
      <w:r>
        <w:rPr>
          <w:rFonts w:ascii="仿宋" w:hAnsi="仿宋" w:eastAsia="仿宋"/>
          <w:sz w:val="28"/>
          <w:szCs w:val="21"/>
        </w:rPr>
        <w:fldChar w:fldCharType="end"/>
      </w:r>
      <w:r>
        <w:rPr>
          <w:rFonts w:ascii="仿宋" w:hAnsi="仿宋" w:eastAsia="仿宋"/>
          <w:sz w:val="28"/>
          <w:szCs w:val="21"/>
        </w:rPr>
        <w:fldChar w:fldCharType="end"/>
      </w:r>
    </w:p>
    <w:p>
      <w:pPr>
        <w:pStyle w:val="16"/>
        <w:tabs>
          <w:tab w:val="right" w:leader="dot" w:pos="9061"/>
        </w:tabs>
        <w:rPr>
          <w:rFonts w:ascii="仿宋" w:hAnsi="仿宋" w:eastAsia="仿宋" w:cstheme="minorBidi"/>
          <w:smallCaps w:val="0"/>
          <w:sz w:val="22"/>
          <w:szCs w:val="24"/>
        </w:rPr>
      </w:pPr>
      <w:r>
        <w:fldChar w:fldCharType="begin"/>
      </w:r>
      <w:r>
        <w:instrText xml:space="preserve"> HYPERLINK \l "_Toc26017139" </w:instrText>
      </w:r>
      <w:r>
        <w:fldChar w:fldCharType="separate"/>
      </w:r>
      <w:r>
        <w:rPr>
          <w:rStyle w:val="25"/>
          <w:rFonts w:ascii="仿宋" w:hAnsi="仿宋" w:eastAsia="仿宋"/>
          <w:color w:val="auto"/>
          <w:sz w:val="28"/>
          <w:szCs w:val="21"/>
        </w:rPr>
        <w:t>第四节  投标文件的提交</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_Toc26017139 \h </w:instrText>
      </w:r>
      <w:r>
        <w:rPr>
          <w:rFonts w:ascii="仿宋" w:hAnsi="仿宋" w:eastAsia="仿宋"/>
          <w:sz w:val="28"/>
          <w:szCs w:val="21"/>
        </w:rPr>
        <w:fldChar w:fldCharType="separate"/>
      </w:r>
      <w:r>
        <w:rPr>
          <w:rFonts w:ascii="仿宋" w:hAnsi="仿宋" w:eastAsia="仿宋"/>
          <w:sz w:val="28"/>
          <w:szCs w:val="21"/>
        </w:rPr>
        <w:t>14</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"_Toc26017140" </w:instrText>
      </w:r>
      <w:r>
        <w:fldChar w:fldCharType="separate"/>
      </w:r>
      <w:r>
        <w:rPr>
          <w:rStyle w:val="25"/>
          <w:rFonts w:ascii="仿宋" w:hAnsi="仿宋" w:eastAsia="仿宋"/>
          <w:color w:val="auto"/>
          <w:sz w:val="28"/>
          <w:szCs w:val="21"/>
        </w:rPr>
        <w:t>14. 投标文件的密封、标记和递交</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_Toc26017140 \h </w:instrText>
      </w:r>
      <w:r>
        <w:rPr>
          <w:rFonts w:ascii="仿宋" w:hAnsi="仿宋" w:eastAsia="仿宋"/>
          <w:sz w:val="28"/>
          <w:szCs w:val="21"/>
        </w:rPr>
        <w:fldChar w:fldCharType="separate"/>
      </w:r>
      <w:r>
        <w:rPr>
          <w:rFonts w:ascii="仿宋" w:hAnsi="仿宋" w:eastAsia="仿宋"/>
          <w:sz w:val="28"/>
          <w:szCs w:val="21"/>
        </w:rPr>
        <w:t>14</w:t>
      </w:r>
      <w:r>
        <w:rPr>
          <w:rFonts w:ascii="仿宋" w:hAnsi="仿宋" w:eastAsia="仿宋"/>
          <w:sz w:val="28"/>
          <w:szCs w:val="21"/>
        </w:rPr>
        <w:fldChar w:fldCharType="end"/>
      </w:r>
      <w:r>
        <w:rPr>
          <w:rFonts w:ascii="仿宋" w:hAnsi="仿宋" w:eastAsia="仿宋"/>
          <w:sz w:val="28"/>
          <w:szCs w:val="21"/>
        </w:rPr>
        <w:fldChar w:fldCharType="end"/>
      </w:r>
    </w:p>
    <w:p>
      <w:pPr>
        <w:pStyle w:val="16"/>
        <w:tabs>
          <w:tab w:val="right" w:leader="dot" w:pos="9061"/>
        </w:tabs>
        <w:rPr>
          <w:rFonts w:ascii="仿宋" w:hAnsi="仿宋" w:eastAsia="仿宋" w:cstheme="minorBidi"/>
          <w:smallCaps w:val="0"/>
          <w:sz w:val="22"/>
          <w:szCs w:val="24"/>
        </w:rPr>
      </w:pPr>
      <w:r>
        <w:fldChar w:fldCharType="begin"/>
      </w:r>
      <w:r>
        <w:instrText xml:space="preserve"> HYPERLINK \l "_Toc26017141" </w:instrText>
      </w:r>
      <w:r>
        <w:fldChar w:fldCharType="separate"/>
      </w:r>
      <w:r>
        <w:rPr>
          <w:rStyle w:val="25"/>
          <w:rFonts w:ascii="仿宋" w:hAnsi="仿宋" w:eastAsia="仿宋"/>
          <w:color w:val="auto"/>
          <w:sz w:val="28"/>
          <w:szCs w:val="21"/>
        </w:rPr>
        <w:t>第五节投标文件的评估和比较</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_Toc26017141 \h </w:instrText>
      </w:r>
      <w:r>
        <w:rPr>
          <w:rFonts w:ascii="仿宋" w:hAnsi="仿宋" w:eastAsia="仿宋"/>
          <w:sz w:val="28"/>
          <w:szCs w:val="21"/>
        </w:rPr>
        <w:fldChar w:fldCharType="separate"/>
      </w:r>
      <w:r>
        <w:rPr>
          <w:rFonts w:ascii="仿宋" w:hAnsi="仿宋" w:eastAsia="仿宋"/>
          <w:sz w:val="28"/>
          <w:szCs w:val="21"/>
        </w:rPr>
        <w:t>15</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"_Toc26017142" </w:instrText>
      </w:r>
      <w:r>
        <w:fldChar w:fldCharType="separate"/>
      </w:r>
      <w:r>
        <w:rPr>
          <w:rStyle w:val="25"/>
          <w:rFonts w:ascii="仿宋" w:hAnsi="仿宋" w:eastAsia="仿宋"/>
          <w:color w:val="auto"/>
          <w:sz w:val="28"/>
          <w:szCs w:val="21"/>
        </w:rPr>
        <w:t>15．开标、评标时间</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_Toc26017142 \h </w:instrText>
      </w:r>
      <w:r>
        <w:rPr>
          <w:rFonts w:ascii="仿宋" w:hAnsi="仿宋" w:eastAsia="仿宋"/>
          <w:sz w:val="28"/>
          <w:szCs w:val="21"/>
        </w:rPr>
        <w:fldChar w:fldCharType="separate"/>
      </w:r>
      <w:r>
        <w:rPr>
          <w:rFonts w:ascii="仿宋" w:hAnsi="仿宋" w:eastAsia="仿宋"/>
          <w:sz w:val="28"/>
          <w:szCs w:val="21"/>
        </w:rPr>
        <w:t>15</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"_Toc26017143" </w:instrText>
      </w:r>
      <w:r>
        <w:fldChar w:fldCharType="separate"/>
      </w:r>
      <w:r>
        <w:rPr>
          <w:rStyle w:val="25"/>
          <w:rFonts w:ascii="仿宋" w:hAnsi="仿宋" w:eastAsia="仿宋"/>
          <w:color w:val="auto"/>
          <w:sz w:val="28"/>
          <w:szCs w:val="21"/>
        </w:rPr>
        <w:t>17. 投标文件的初审</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_Toc26017143 \h </w:instrText>
      </w:r>
      <w:r>
        <w:rPr>
          <w:rFonts w:ascii="仿宋" w:hAnsi="仿宋" w:eastAsia="仿宋"/>
          <w:sz w:val="28"/>
          <w:szCs w:val="21"/>
        </w:rPr>
        <w:fldChar w:fldCharType="separate"/>
      </w:r>
      <w:r>
        <w:rPr>
          <w:rFonts w:ascii="仿宋" w:hAnsi="仿宋" w:eastAsia="仿宋"/>
          <w:sz w:val="28"/>
          <w:szCs w:val="21"/>
        </w:rPr>
        <w:t>15</w:t>
      </w:r>
      <w:r>
        <w:rPr>
          <w:rFonts w:ascii="仿宋" w:hAnsi="仿宋" w:eastAsia="仿宋"/>
          <w:sz w:val="28"/>
          <w:szCs w:val="21"/>
        </w:rPr>
        <w:fldChar w:fldCharType="end"/>
      </w:r>
      <w:r>
        <w:rPr>
          <w:rFonts w:ascii="仿宋" w:hAnsi="仿宋" w:eastAsia="仿宋"/>
          <w:sz w:val="28"/>
          <w:szCs w:val="21"/>
        </w:rPr>
        <w:fldChar w:fldCharType="end"/>
      </w:r>
    </w:p>
    <w:p>
      <w:pPr>
        <w:pStyle w:val="16"/>
        <w:tabs>
          <w:tab w:val="right" w:leader="dot" w:pos="9061"/>
        </w:tabs>
        <w:rPr>
          <w:rFonts w:ascii="仿宋" w:hAnsi="仿宋" w:eastAsia="仿宋" w:cstheme="minorBidi"/>
          <w:smallCaps w:val="0"/>
          <w:sz w:val="22"/>
          <w:szCs w:val="24"/>
        </w:rPr>
      </w:pPr>
      <w:r>
        <w:fldChar w:fldCharType="begin"/>
      </w:r>
      <w:r>
        <w:instrText xml:space="preserve"> HYPERLINK \l "_Toc26017144" </w:instrText>
      </w:r>
      <w:r>
        <w:fldChar w:fldCharType="separate"/>
      </w:r>
      <w:r>
        <w:rPr>
          <w:rStyle w:val="25"/>
          <w:rFonts w:ascii="仿宋" w:hAnsi="仿宋" w:eastAsia="仿宋"/>
          <w:color w:val="auto"/>
          <w:sz w:val="28"/>
          <w:szCs w:val="21"/>
        </w:rPr>
        <w:t>18.评标办法</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_Toc26017144 \h </w:instrText>
      </w:r>
      <w:r>
        <w:rPr>
          <w:rFonts w:ascii="仿宋" w:hAnsi="仿宋" w:eastAsia="仿宋"/>
          <w:sz w:val="28"/>
          <w:szCs w:val="21"/>
        </w:rPr>
        <w:fldChar w:fldCharType="separate"/>
      </w:r>
      <w:r>
        <w:rPr>
          <w:rFonts w:ascii="仿宋" w:hAnsi="仿宋" w:eastAsia="仿宋"/>
          <w:sz w:val="28"/>
          <w:szCs w:val="21"/>
        </w:rPr>
        <w:t>18</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"_Toc26017145" </w:instrText>
      </w:r>
      <w:r>
        <w:fldChar w:fldCharType="separate"/>
      </w:r>
      <w:r>
        <w:rPr>
          <w:rStyle w:val="25"/>
          <w:rFonts w:ascii="仿宋" w:hAnsi="仿宋" w:eastAsia="仿宋"/>
          <w:color w:val="auto"/>
          <w:sz w:val="28"/>
          <w:szCs w:val="21"/>
        </w:rPr>
        <w:t>19. 投标文件的澄清</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_Toc26017145 \h </w:instrText>
      </w:r>
      <w:r>
        <w:rPr>
          <w:rFonts w:ascii="仿宋" w:hAnsi="仿宋" w:eastAsia="仿宋"/>
          <w:sz w:val="28"/>
          <w:szCs w:val="21"/>
        </w:rPr>
        <w:fldChar w:fldCharType="separate"/>
      </w:r>
      <w:r>
        <w:rPr>
          <w:rFonts w:ascii="仿宋" w:hAnsi="仿宋" w:eastAsia="仿宋"/>
          <w:sz w:val="28"/>
          <w:szCs w:val="21"/>
        </w:rPr>
        <w:t>21</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"_Toc26017146" </w:instrText>
      </w:r>
      <w:r>
        <w:fldChar w:fldCharType="separate"/>
      </w:r>
      <w:r>
        <w:rPr>
          <w:rStyle w:val="25"/>
          <w:rFonts w:ascii="仿宋" w:hAnsi="仿宋" w:eastAsia="仿宋"/>
          <w:color w:val="auto"/>
          <w:sz w:val="28"/>
          <w:szCs w:val="21"/>
        </w:rPr>
        <w:t>20. 比较与评价</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_Toc26017146 \h </w:instrText>
      </w:r>
      <w:r>
        <w:rPr>
          <w:rFonts w:ascii="仿宋" w:hAnsi="仿宋" w:eastAsia="仿宋"/>
          <w:sz w:val="28"/>
          <w:szCs w:val="21"/>
        </w:rPr>
        <w:fldChar w:fldCharType="separate"/>
      </w:r>
      <w:r>
        <w:rPr>
          <w:rFonts w:ascii="仿宋" w:hAnsi="仿宋" w:eastAsia="仿宋"/>
          <w:sz w:val="28"/>
          <w:szCs w:val="21"/>
        </w:rPr>
        <w:t>22</w:t>
      </w:r>
      <w:r>
        <w:rPr>
          <w:rFonts w:ascii="仿宋" w:hAnsi="仿宋" w:eastAsia="仿宋"/>
          <w:sz w:val="28"/>
          <w:szCs w:val="21"/>
        </w:rPr>
        <w:fldChar w:fldCharType="end"/>
      </w:r>
      <w:r>
        <w:rPr>
          <w:rFonts w:ascii="仿宋" w:hAnsi="仿宋" w:eastAsia="仿宋"/>
          <w:sz w:val="28"/>
          <w:szCs w:val="21"/>
        </w:rPr>
        <w:fldChar w:fldCharType="end"/>
      </w:r>
    </w:p>
    <w:p>
      <w:pPr>
        <w:pStyle w:val="16"/>
        <w:tabs>
          <w:tab w:val="right" w:leader="dot" w:pos="9061"/>
        </w:tabs>
        <w:rPr>
          <w:rFonts w:ascii="仿宋" w:hAnsi="仿宋" w:eastAsia="仿宋" w:cstheme="minorBidi"/>
          <w:smallCaps w:val="0"/>
          <w:sz w:val="22"/>
          <w:szCs w:val="24"/>
        </w:rPr>
      </w:pPr>
      <w:r>
        <w:fldChar w:fldCharType="begin"/>
      </w:r>
      <w:r>
        <w:instrText xml:space="preserve"> HYPERLINK \l "_Toc26017147" </w:instrText>
      </w:r>
      <w:r>
        <w:fldChar w:fldCharType="separate"/>
      </w:r>
      <w:r>
        <w:rPr>
          <w:rStyle w:val="25"/>
          <w:rFonts w:ascii="仿宋" w:hAnsi="仿宋" w:eastAsia="仿宋"/>
          <w:color w:val="auto"/>
          <w:sz w:val="28"/>
          <w:szCs w:val="21"/>
        </w:rPr>
        <w:t>第六节定标与签订合同</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_Toc26017147 \h </w:instrText>
      </w:r>
      <w:r>
        <w:rPr>
          <w:rFonts w:ascii="仿宋" w:hAnsi="仿宋" w:eastAsia="仿宋"/>
          <w:sz w:val="28"/>
          <w:szCs w:val="21"/>
        </w:rPr>
        <w:fldChar w:fldCharType="separate"/>
      </w:r>
      <w:r>
        <w:rPr>
          <w:rFonts w:ascii="仿宋" w:hAnsi="仿宋" w:eastAsia="仿宋"/>
          <w:sz w:val="28"/>
          <w:szCs w:val="21"/>
        </w:rPr>
        <w:t>22</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"_Toc26017148" </w:instrText>
      </w:r>
      <w:r>
        <w:fldChar w:fldCharType="separate"/>
      </w:r>
      <w:r>
        <w:rPr>
          <w:rStyle w:val="25"/>
          <w:rFonts w:ascii="仿宋" w:hAnsi="仿宋" w:eastAsia="仿宋"/>
          <w:color w:val="auto"/>
          <w:sz w:val="28"/>
          <w:szCs w:val="21"/>
        </w:rPr>
        <w:t>20. 定标准则</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_Toc26017148 \h </w:instrText>
      </w:r>
      <w:r>
        <w:rPr>
          <w:rFonts w:ascii="仿宋" w:hAnsi="仿宋" w:eastAsia="仿宋"/>
          <w:sz w:val="28"/>
          <w:szCs w:val="21"/>
        </w:rPr>
        <w:fldChar w:fldCharType="separate"/>
      </w:r>
      <w:r>
        <w:rPr>
          <w:rFonts w:ascii="仿宋" w:hAnsi="仿宋" w:eastAsia="仿宋"/>
          <w:sz w:val="28"/>
          <w:szCs w:val="21"/>
        </w:rPr>
        <w:t>22</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"_Toc26017149" </w:instrText>
      </w:r>
      <w:r>
        <w:fldChar w:fldCharType="separate"/>
      </w:r>
      <w:r>
        <w:rPr>
          <w:rStyle w:val="25"/>
          <w:rFonts w:ascii="仿宋" w:hAnsi="仿宋" w:eastAsia="仿宋"/>
          <w:color w:val="auto"/>
          <w:sz w:val="28"/>
          <w:szCs w:val="21"/>
        </w:rPr>
        <w:t>21. 中标通知</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_Toc26017149 \h </w:instrText>
      </w:r>
      <w:r>
        <w:rPr>
          <w:rFonts w:ascii="仿宋" w:hAnsi="仿宋" w:eastAsia="仿宋"/>
          <w:sz w:val="28"/>
          <w:szCs w:val="21"/>
        </w:rPr>
        <w:fldChar w:fldCharType="separate"/>
      </w:r>
      <w:r>
        <w:rPr>
          <w:rFonts w:ascii="仿宋" w:hAnsi="仿宋" w:eastAsia="仿宋"/>
          <w:sz w:val="28"/>
          <w:szCs w:val="21"/>
        </w:rPr>
        <w:t>23</w:t>
      </w:r>
      <w:r>
        <w:rPr>
          <w:rFonts w:ascii="仿宋" w:hAnsi="仿宋" w:eastAsia="仿宋"/>
          <w:sz w:val="28"/>
          <w:szCs w:val="21"/>
        </w:rPr>
        <w:fldChar w:fldCharType="end"/>
      </w:r>
      <w:r>
        <w:rPr>
          <w:rFonts w:ascii="仿宋" w:hAnsi="仿宋" w:eastAsia="仿宋"/>
          <w:sz w:val="28"/>
          <w:szCs w:val="21"/>
        </w:rPr>
        <w:fldChar w:fldCharType="end"/>
      </w:r>
    </w:p>
    <w:p>
      <w:pPr>
        <w:pStyle w:val="9"/>
        <w:tabs>
          <w:tab w:val="right" w:leader="dot" w:pos="9061"/>
        </w:tabs>
        <w:rPr>
          <w:rFonts w:ascii="仿宋" w:hAnsi="仿宋" w:eastAsia="仿宋" w:cstheme="minorBidi"/>
          <w:iCs w:val="0"/>
          <w:sz w:val="22"/>
          <w:szCs w:val="24"/>
        </w:rPr>
      </w:pPr>
      <w:r>
        <w:fldChar w:fldCharType="begin"/>
      </w:r>
      <w:r>
        <w:instrText xml:space="preserve"> HYPERLINK \l "_Toc26017150" </w:instrText>
      </w:r>
      <w:r>
        <w:fldChar w:fldCharType="separate"/>
      </w:r>
      <w:r>
        <w:rPr>
          <w:rStyle w:val="25"/>
          <w:rFonts w:ascii="仿宋" w:hAnsi="仿宋" w:eastAsia="仿宋"/>
          <w:color w:val="auto"/>
          <w:sz w:val="28"/>
          <w:szCs w:val="21"/>
        </w:rPr>
        <w:t>22. 签订合同</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_Toc26017150 \h </w:instrText>
      </w:r>
      <w:r>
        <w:rPr>
          <w:rFonts w:ascii="仿宋" w:hAnsi="仿宋" w:eastAsia="仿宋"/>
          <w:sz w:val="28"/>
          <w:szCs w:val="21"/>
        </w:rPr>
        <w:fldChar w:fldCharType="separate"/>
      </w:r>
      <w:r>
        <w:rPr>
          <w:rFonts w:ascii="仿宋" w:hAnsi="仿宋" w:eastAsia="仿宋"/>
          <w:sz w:val="28"/>
          <w:szCs w:val="21"/>
        </w:rPr>
        <w:t>23</w:t>
      </w:r>
      <w:r>
        <w:rPr>
          <w:rFonts w:ascii="仿宋" w:hAnsi="仿宋" w:eastAsia="仿宋"/>
          <w:sz w:val="28"/>
          <w:szCs w:val="21"/>
        </w:rPr>
        <w:fldChar w:fldCharType="end"/>
      </w:r>
      <w:r>
        <w:rPr>
          <w:rFonts w:ascii="仿宋" w:hAnsi="仿宋" w:eastAsia="仿宋"/>
          <w:sz w:val="28"/>
          <w:szCs w:val="21"/>
        </w:rPr>
        <w:fldChar w:fldCharType="end"/>
      </w:r>
    </w:p>
    <w:p>
      <w:pPr>
        <w:pStyle w:val="15"/>
        <w:tabs>
          <w:tab w:val="right" w:leader="dot" w:pos="9061"/>
        </w:tabs>
        <w:rPr>
          <w:rFonts w:ascii="仿宋" w:hAnsi="仿宋" w:eastAsia="仿宋" w:cstheme="minorBidi"/>
          <w:b w:val="0"/>
          <w:bCs w:val="0"/>
          <w:caps w:val="0"/>
          <w:sz w:val="22"/>
          <w:szCs w:val="24"/>
        </w:rPr>
      </w:pPr>
      <w:r>
        <w:fldChar w:fldCharType="begin"/>
      </w:r>
      <w:r>
        <w:instrText xml:space="preserve"> HYPERLINK \l "_Toc26017151" </w:instrText>
      </w:r>
      <w:r>
        <w:fldChar w:fldCharType="separate"/>
      </w:r>
      <w:r>
        <w:rPr>
          <w:rStyle w:val="25"/>
          <w:rFonts w:ascii="仿宋" w:hAnsi="仿宋" w:eastAsia="仿宋"/>
          <w:color w:val="auto"/>
          <w:sz w:val="28"/>
          <w:szCs w:val="21"/>
        </w:rPr>
        <w:t>第三章　招标内容及要求</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_Toc26017151 \h </w:instrText>
      </w:r>
      <w:r>
        <w:rPr>
          <w:rFonts w:ascii="仿宋" w:hAnsi="仿宋" w:eastAsia="仿宋"/>
          <w:sz w:val="28"/>
          <w:szCs w:val="21"/>
        </w:rPr>
        <w:fldChar w:fldCharType="separate"/>
      </w:r>
      <w:r>
        <w:rPr>
          <w:rFonts w:ascii="仿宋" w:hAnsi="仿宋" w:eastAsia="仿宋"/>
          <w:sz w:val="28"/>
          <w:szCs w:val="21"/>
        </w:rPr>
        <w:t>24</w:t>
      </w:r>
      <w:r>
        <w:rPr>
          <w:rFonts w:ascii="仿宋" w:hAnsi="仿宋" w:eastAsia="仿宋"/>
          <w:sz w:val="28"/>
          <w:szCs w:val="21"/>
        </w:rPr>
        <w:fldChar w:fldCharType="end"/>
      </w:r>
      <w:r>
        <w:rPr>
          <w:rFonts w:ascii="仿宋" w:hAnsi="仿宋" w:eastAsia="仿宋"/>
          <w:sz w:val="28"/>
          <w:szCs w:val="21"/>
        </w:rPr>
        <w:fldChar w:fldCharType="end"/>
      </w:r>
    </w:p>
    <w:p>
      <w:pPr>
        <w:pStyle w:val="16"/>
        <w:tabs>
          <w:tab w:val="right" w:leader="dot" w:pos="9061"/>
        </w:tabs>
        <w:rPr>
          <w:rFonts w:ascii="仿宋" w:hAnsi="仿宋" w:eastAsia="仿宋" w:cstheme="minorBidi"/>
          <w:smallCaps w:val="0"/>
          <w:sz w:val="22"/>
          <w:szCs w:val="24"/>
        </w:rPr>
      </w:pPr>
      <w:r>
        <w:fldChar w:fldCharType="begin"/>
      </w:r>
      <w:r>
        <w:instrText xml:space="preserve"> HYPERLINK \l "_Toc26017152" </w:instrText>
      </w:r>
      <w:r>
        <w:fldChar w:fldCharType="separate"/>
      </w:r>
      <w:r>
        <w:rPr>
          <w:rStyle w:val="25"/>
          <w:rFonts w:ascii="仿宋" w:hAnsi="仿宋" w:eastAsia="仿宋"/>
          <w:color w:val="auto"/>
          <w:sz w:val="28"/>
          <w:szCs w:val="21"/>
        </w:rPr>
        <w:t>第一节 项目需求</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_Toc26017152 \h </w:instrText>
      </w:r>
      <w:r>
        <w:rPr>
          <w:rFonts w:ascii="仿宋" w:hAnsi="仿宋" w:eastAsia="仿宋"/>
          <w:sz w:val="28"/>
          <w:szCs w:val="21"/>
        </w:rPr>
        <w:fldChar w:fldCharType="separate"/>
      </w:r>
      <w:r>
        <w:rPr>
          <w:rFonts w:ascii="仿宋" w:hAnsi="仿宋" w:eastAsia="仿宋"/>
          <w:sz w:val="28"/>
          <w:szCs w:val="21"/>
        </w:rPr>
        <w:t>24</w:t>
      </w:r>
      <w:r>
        <w:rPr>
          <w:rFonts w:ascii="仿宋" w:hAnsi="仿宋" w:eastAsia="仿宋"/>
          <w:sz w:val="28"/>
          <w:szCs w:val="21"/>
        </w:rPr>
        <w:fldChar w:fldCharType="end"/>
      </w:r>
      <w:r>
        <w:rPr>
          <w:rFonts w:ascii="仿宋" w:hAnsi="仿宋" w:eastAsia="仿宋"/>
          <w:sz w:val="28"/>
          <w:szCs w:val="21"/>
        </w:rPr>
        <w:fldChar w:fldCharType="end"/>
      </w:r>
    </w:p>
    <w:p>
      <w:pPr>
        <w:pStyle w:val="16"/>
        <w:tabs>
          <w:tab w:val="right" w:leader="dot" w:pos="9061"/>
        </w:tabs>
        <w:rPr>
          <w:rFonts w:ascii="仿宋" w:hAnsi="仿宋" w:eastAsia="仿宋" w:cstheme="minorBidi"/>
          <w:smallCaps w:val="0"/>
          <w:sz w:val="22"/>
          <w:szCs w:val="24"/>
        </w:rPr>
      </w:pPr>
      <w:r>
        <w:fldChar w:fldCharType="begin"/>
      </w:r>
      <w:r>
        <w:instrText xml:space="preserve"> HYPERLINK \l "_Toc26017153" </w:instrText>
      </w:r>
      <w:r>
        <w:fldChar w:fldCharType="separate"/>
      </w:r>
      <w:r>
        <w:rPr>
          <w:rStyle w:val="25"/>
          <w:rFonts w:ascii="仿宋" w:hAnsi="仿宋" w:eastAsia="仿宋"/>
          <w:color w:val="auto"/>
          <w:sz w:val="28"/>
          <w:szCs w:val="21"/>
        </w:rPr>
        <w:t>第二节 商务要求</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_Toc26017153 \h </w:instrText>
      </w:r>
      <w:r>
        <w:rPr>
          <w:rFonts w:ascii="仿宋" w:hAnsi="仿宋" w:eastAsia="仿宋"/>
          <w:sz w:val="28"/>
          <w:szCs w:val="21"/>
        </w:rPr>
        <w:fldChar w:fldCharType="separate"/>
      </w:r>
      <w:r>
        <w:rPr>
          <w:rFonts w:ascii="仿宋" w:hAnsi="仿宋" w:eastAsia="仿宋"/>
          <w:sz w:val="28"/>
          <w:szCs w:val="21"/>
        </w:rPr>
        <w:t>41</w:t>
      </w:r>
      <w:r>
        <w:rPr>
          <w:rFonts w:ascii="仿宋" w:hAnsi="仿宋" w:eastAsia="仿宋"/>
          <w:sz w:val="28"/>
          <w:szCs w:val="21"/>
        </w:rPr>
        <w:fldChar w:fldCharType="end"/>
      </w:r>
      <w:r>
        <w:rPr>
          <w:rFonts w:ascii="仿宋" w:hAnsi="仿宋" w:eastAsia="仿宋"/>
          <w:sz w:val="28"/>
          <w:szCs w:val="21"/>
        </w:rPr>
        <w:fldChar w:fldCharType="end"/>
      </w:r>
    </w:p>
    <w:p>
      <w:pPr>
        <w:pStyle w:val="16"/>
        <w:tabs>
          <w:tab w:val="right" w:leader="dot" w:pos="9061"/>
        </w:tabs>
        <w:rPr>
          <w:rFonts w:ascii="仿宋" w:hAnsi="仿宋" w:eastAsia="仿宋" w:cstheme="minorBidi"/>
          <w:smallCaps w:val="0"/>
          <w:sz w:val="22"/>
          <w:szCs w:val="24"/>
        </w:rPr>
      </w:pPr>
      <w:r>
        <w:fldChar w:fldCharType="begin"/>
      </w:r>
      <w:r>
        <w:instrText xml:space="preserve"> HYPERLINK \l "_Toc26017154" </w:instrText>
      </w:r>
      <w:r>
        <w:fldChar w:fldCharType="separate"/>
      </w:r>
      <w:r>
        <w:rPr>
          <w:rStyle w:val="25"/>
          <w:rFonts w:ascii="仿宋" w:hAnsi="仿宋" w:eastAsia="仿宋"/>
          <w:color w:val="auto"/>
          <w:sz w:val="28"/>
          <w:szCs w:val="21"/>
        </w:rPr>
        <w:t>第三节 报价要求</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_Toc26017154 \h </w:instrText>
      </w:r>
      <w:r>
        <w:rPr>
          <w:rFonts w:ascii="仿宋" w:hAnsi="仿宋" w:eastAsia="仿宋"/>
          <w:sz w:val="28"/>
          <w:szCs w:val="21"/>
        </w:rPr>
        <w:fldChar w:fldCharType="separate"/>
      </w:r>
      <w:r>
        <w:rPr>
          <w:rFonts w:ascii="仿宋" w:hAnsi="仿宋" w:eastAsia="仿宋"/>
          <w:sz w:val="28"/>
          <w:szCs w:val="21"/>
        </w:rPr>
        <w:t>42</w:t>
      </w:r>
      <w:r>
        <w:rPr>
          <w:rFonts w:ascii="仿宋" w:hAnsi="仿宋" w:eastAsia="仿宋"/>
          <w:sz w:val="28"/>
          <w:szCs w:val="21"/>
        </w:rPr>
        <w:fldChar w:fldCharType="end"/>
      </w:r>
      <w:r>
        <w:rPr>
          <w:rFonts w:ascii="仿宋" w:hAnsi="仿宋" w:eastAsia="仿宋"/>
          <w:sz w:val="28"/>
          <w:szCs w:val="21"/>
        </w:rPr>
        <w:fldChar w:fldCharType="end"/>
      </w:r>
    </w:p>
    <w:p>
      <w:pPr>
        <w:pStyle w:val="15"/>
        <w:tabs>
          <w:tab w:val="right" w:leader="dot" w:pos="9061"/>
        </w:tabs>
        <w:rPr>
          <w:rFonts w:ascii="仿宋" w:hAnsi="仿宋" w:eastAsia="仿宋" w:cstheme="minorBidi"/>
          <w:b w:val="0"/>
          <w:bCs w:val="0"/>
          <w:caps w:val="0"/>
          <w:sz w:val="21"/>
          <w:szCs w:val="22"/>
        </w:rPr>
      </w:pPr>
      <w:r>
        <w:fldChar w:fldCharType="begin"/>
      </w:r>
      <w:r>
        <w:instrText xml:space="preserve"> HYPERLINK \l "_Toc26017155" </w:instrText>
      </w:r>
      <w:r>
        <w:fldChar w:fldCharType="separate"/>
      </w:r>
      <w:r>
        <w:rPr>
          <w:rStyle w:val="25"/>
          <w:rFonts w:ascii="仿宋" w:hAnsi="仿宋" w:eastAsia="仿宋"/>
          <w:color w:val="auto"/>
          <w:sz w:val="28"/>
          <w:szCs w:val="21"/>
        </w:rPr>
        <w:t>第四章  投标文件格式</w:t>
      </w:r>
      <w:r>
        <w:rPr>
          <w:rFonts w:ascii="仿宋" w:hAnsi="仿宋" w:eastAsia="仿宋"/>
          <w:sz w:val="28"/>
          <w:szCs w:val="21"/>
        </w:rPr>
        <w:tab/>
      </w:r>
      <w:r>
        <w:rPr>
          <w:rFonts w:ascii="仿宋" w:hAnsi="仿宋" w:eastAsia="仿宋"/>
          <w:sz w:val="28"/>
          <w:szCs w:val="21"/>
        </w:rPr>
        <w:fldChar w:fldCharType="begin"/>
      </w:r>
      <w:r>
        <w:rPr>
          <w:rFonts w:ascii="仿宋" w:hAnsi="仿宋" w:eastAsia="仿宋"/>
          <w:sz w:val="28"/>
          <w:szCs w:val="21"/>
        </w:rPr>
        <w:instrText xml:space="preserve"> PAGEREF _Toc26017155 \h </w:instrText>
      </w:r>
      <w:r>
        <w:rPr>
          <w:rFonts w:ascii="仿宋" w:hAnsi="仿宋" w:eastAsia="仿宋"/>
          <w:sz w:val="28"/>
          <w:szCs w:val="21"/>
        </w:rPr>
        <w:fldChar w:fldCharType="separate"/>
      </w:r>
      <w:r>
        <w:rPr>
          <w:rFonts w:ascii="仿宋" w:hAnsi="仿宋" w:eastAsia="仿宋"/>
          <w:sz w:val="28"/>
          <w:szCs w:val="21"/>
        </w:rPr>
        <w:t>44</w:t>
      </w:r>
      <w:r>
        <w:rPr>
          <w:rFonts w:ascii="仿宋" w:hAnsi="仿宋" w:eastAsia="仿宋"/>
          <w:sz w:val="28"/>
          <w:szCs w:val="21"/>
        </w:rPr>
        <w:fldChar w:fldCharType="end"/>
      </w:r>
      <w:r>
        <w:rPr>
          <w:rFonts w:ascii="仿宋" w:hAnsi="仿宋" w:eastAsia="仿宋"/>
          <w:sz w:val="28"/>
          <w:szCs w:val="21"/>
        </w:rPr>
        <w:fldChar w:fldCharType="end"/>
      </w:r>
    </w:p>
    <w:p>
      <w:pPr>
        <w:pStyle w:val="15"/>
        <w:tabs>
          <w:tab w:val="right" w:leader="dot" w:pos="9061"/>
        </w:tabs>
        <w:spacing w:before="0" w:after="0" w:line="400" w:lineRule="exact"/>
        <w:rPr>
          <w:rFonts w:ascii="仿宋" w:hAnsi="仿宋" w:eastAsia="仿宋"/>
          <w:sz w:val="32"/>
          <w:szCs w:val="32"/>
        </w:rPr>
      </w:pPr>
      <w:r>
        <w:rPr>
          <w:rFonts w:ascii="仿宋" w:hAnsi="仿宋" w:eastAsia="仿宋"/>
          <w:sz w:val="32"/>
          <w:szCs w:val="32"/>
        </w:rPr>
        <w:fldChar w:fldCharType="end"/>
      </w:r>
    </w:p>
    <w:p>
      <w:pPr>
        <w:pStyle w:val="2"/>
        <w:keepNext w:val="0"/>
        <w:keepLines w:val="0"/>
        <w:spacing w:before="0" w:after="0" w:line="580" w:lineRule="exact"/>
        <w:jc w:val="left"/>
        <w:rPr>
          <w:rFonts w:ascii="仿宋" w:hAnsi="仿宋" w:eastAsia="仿宋"/>
          <w:sz w:val="44"/>
        </w:rPr>
      </w:pPr>
      <w:bookmarkStart w:id="9" w:name="_Toc51489303"/>
    </w:p>
    <w:p>
      <w:pPr>
        <w:rPr>
          <w:rFonts w:ascii="仿宋" w:hAnsi="仿宋" w:eastAsia="仿宋"/>
          <w:sz w:val="48"/>
          <w:szCs w:val="48"/>
        </w:rPr>
      </w:pPr>
    </w:p>
    <w:p>
      <w:pPr>
        <w:pStyle w:val="2"/>
        <w:keepNext w:val="0"/>
        <w:keepLines w:val="0"/>
        <w:spacing w:before="120" w:beforeLines="50" w:after="240" w:afterLines="100" w:line="580" w:lineRule="exact"/>
        <w:jc w:val="center"/>
        <w:rPr>
          <w:rFonts w:ascii="仿宋" w:hAnsi="仿宋" w:eastAsia="仿宋"/>
          <w:szCs w:val="32"/>
        </w:rPr>
      </w:pPr>
      <w:r>
        <w:rPr>
          <w:rFonts w:ascii="仿宋" w:hAnsi="仿宋" w:eastAsia="仿宋"/>
          <w:sz w:val="52"/>
          <w:szCs w:val="52"/>
        </w:rPr>
        <w:br w:type="page"/>
      </w:r>
      <w:bookmarkStart w:id="10" w:name="_Toc26017120"/>
      <w:r>
        <w:rPr>
          <w:rFonts w:hint="eastAsia" w:ascii="方正小标宋简体" w:hAnsi="方正小标宋简体" w:eastAsia="方正小标宋简体" w:cs="方正小标宋简体"/>
          <w:b w:val="0"/>
          <w:bCs/>
          <w:kern w:val="0"/>
          <w:sz w:val="44"/>
          <w:szCs w:val="44"/>
        </w:rPr>
        <w:t>第一章　招标公告</w:t>
      </w:r>
      <w:bookmarkEnd w:id="1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厦门思明国有控股有限公司（以下简称：思明控股）正着力统筹规划建设统一信息化支撑体系，实现集团信息化转型，根据集团业务发展需求及内部职能部门管理需求，且为了更好地贯彻落实《网络安全法》的要求、国家标准《GBT22239-2019信息安全技术网络安全等级保护基本要求》，降低信息化系统信息安全风险，做好信息化系统安全防护，在临时机房采购部署一套网络安全设备及私有化服务器集群。厦门开元数字科技有限公司（以下简称：开元数科）受思明控股委托，就思明控股集团临时机房硬件设备采购，现采用公开招标方式选择设备供应单位，欢迎符合资格、专业的公司参加投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有意参加此次招标，请自行在本网站下载招标文件，此次招标的截标时间为2022年8月19日9时，投标人需在2022年8月19日9时前将投标材料一式两份（其中正本一份，副本一份）提交到招标人处，在此时点之后送达的投标文件恕不接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招标人：厦门开元数字科技有限公司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联系地址：厦门市台东路68号1801单元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联系人：李子昂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联系电话：18616175153</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账户名称：厦门开元数字科技有限公司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帐    号：80117400002919</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开户银行：厦门银行开元支行</w:t>
      </w:r>
    </w:p>
    <w:p>
      <w:pPr>
        <w:keepNext w:val="0"/>
        <w:keepLines w:val="0"/>
        <w:pageBreakBefore w:val="0"/>
        <w:widowControl w:val="0"/>
        <w:kinsoku/>
        <w:wordWrap/>
        <w:overflowPunct/>
        <w:topLinePunct w:val="0"/>
        <w:autoSpaceDE/>
        <w:autoSpaceDN/>
        <w:bidi w:val="0"/>
        <w:adjustRightInd/>
        <w:snapToGrid/>
        <w:spacing w:line="560" w:lineRule="exact"/>
        <w:ind w:right="920"/>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280" w:firstLine="640" w:firstLineChars="200"/>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厦门开元数字科技有限公司</w:t>
      </w:r>
    </w:p>
    <w:p>
      <w:pPr>
        <w:keepNext w:val="0"/>
        <w:keepLines w:val="0"/>
        <w:pageBreakBefore w:val="0"/>
        <w:widowControl w:val="0"/>
        <w:kinsoku/>
        <w:wordWrap/>
        <w:overflowPunct/>
        <w:topLinePunct w:val="0"/>
        <w:autoSpaceDE/>
        <w:autoSpaceDN/>
        <w:bidi w:val="0"/>
        <w:adjustRightInd/>
        <w:snapToGrid/>
        <w:spacing w:line="560" w:lineRule="exact"/>
        <w:ind w:right="280" w:firstLine="640" w:firstLineChars="200"/>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2022年8月11日</w:t>
      </w:r>
    </w:p>
    <w:p>
      <w:pPr>
        <w:pStyle w:val="2"/>
        <w:keepNext w:val="0"/>
        <w:keepLines w:val="0"/>
        <w:tabs>
          <w:tab w:val="center" w:pos="4535"/>
        </w:tabs>
        <w:spacing w:before="0" w:after="0" w:line="360" w:lineRule="auto"/>
        <w:jc w:val="left"/>
        <w:rPr>
          <w:rFonts w:ascii="仿宋" w:hAnsi="仿宋" w:eastAsia="仿宋"/>
        </w:rPr>
      </w:pPr>
    </w:p>
    <w:p>
      <w:pPr>
        <w:pStyle w:val="2"/>
        <w:keepNext w:val="0"/>
        <w:keepLines w:val="0"/>
        <w:tabs>
          <w:tab w:val="center" w:pos="4535"/>
        </w:tabs>
        <w:spacing w:before="0" w:after="0" w:line="360" w:lineRule="auto"/>
        <w:jc w:val="left"/>
        <w:rPr>
          <w:rFonts w:ascii="仿宋" w:hAnsi="仿宋" w:eastAsia="仿宋"/>
        </w:rPr>
      </w:pPr>
    </w:p>
    <w:p>
      <w:pPr>
        <w:pStyle w:val="2"/>
        <w:keepNext w:val="0"/>
        <w:keepLines w:val="0"/>
        <w:tabs>
          <w:tab w:val="center" w:pos="4535"/>
        </w:tabs>
        <w:spacing w:before="0" w:after="0" w:line="360" w:lineRule="auto"/>
        <w:jc w:val="left"/>
        <w:rPr>
          <w:rFonts w:ascii="仿宋" w:hAnsi="仿宋" w:eastAsia="仿宋"/>
        </w:rPr>
      </w:pPr>
    </w:p>
    <w:p>
      <w:pPr>
        <w:pStyle w:val="2"/>
        <w:keepNext w:val="0"/>
        <w:keepLines w:val="0"/>
        <w:tabs>
          <w:tab w:val="center" w:pos="4535"/>
        </w:tabs>
        <w:spacing w:before="0" w:after="0" w:line="360" w:lineRule="auto"/>
        <w:jc w:val="left"/>
        <w:rPr>
          <w:rFonts w:ascii="仿宋" w:hAnsi="仿宋" w:eastAsia="仿宋"/>
        </w:rPr>
      </w:pPr>
    </w:p>
    <w:p>
      <w:pPr>
        <w:rPr>
          <w:rFonts w:ascii="仿宋" w:hAnsi="仿宋" w:eastAsia="仿宋"/>
        </w:rPr>
      </w:pPr>
    </w:p>
    <w:p>
      <w:pPr>
        <w:rPr>
          <w:rFonts w:ascii="仿宋" w:hAnsi="仿宋" w:eastAsia="仿宋"/>
        </w:rPr>
      </w:pPr>
    </w:p>
    <w:p>
      <w:pPr>
        <w:rPr>
          <w:rFonts w:hint="eastAsia" w:ascii="仿宋_GB2312" w:hAnsi="仿宋_GB2312" w:eastAsia="仿宋_GB2312" w:cs="仿宋_GB2312"/>
          <w:sz w:val="32"/>
          <w:szCs w:val="32"/>
        </w:rPr>
      </w:pPr>
    </w:p>
    <w:p>
      <w:pPr>
        <w:pStyle w:val="2"/>
        <w:keepNext w:val="0"/>
        <w:keepLines w:val="0"/>
        <w:tabs>
          <w:tab w:val="center" w:pos="4535"/>
        </w:tabs>
        <w:spacing w:before="0" w:after="0" w:line="360" w:lineRule="auto"/>
        <w:jc w:val="left"/>
        <w:rPr>
          <w:rFonts w:hint="eastAsia" w:ascii="仿宋_GB2312" w:hAnsi="仿宋_GB2312" w:eastAsia="仿宋_GB2312" w:cs="仿宋_GB2312"/>
          <w:sz w:val="32"/>
          <w:szCs w:val="32"/>
        </w:rPr>
      </w:pPr>
      <w:bookmarkStart w:id="11" w:name="_Toc26017121"/>
      <w:r>
        <w:rPr>
          <w:rFonts w:hint="eastAsia" w:ascii="仿宋_GB2312" w:hAnsi="仿宋_GB2312" w:eastAsia="仿宋_GB2312" w:cs="仿宋_GB2312"/>
          <w:sz w:val="32"/>
          <w:szCs w:val="32"/>
        </w:rPr>
        <w:t>附：招标项目一览表</w:t>
      </w:r>
      <w:bookmarkEnd w:id="11"/>
    </w:p>
    <w:tbl>
      <w:tblPr>
        <w:tblStyle w:val="19"/>
        <w:tblW w:w="9061" w:type="dxa"/>
        <w:tblInd w:w="3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009"/>
        <w:gridCol w:w="1951"/>
        <w:gridCol w:w="1360"/>
        <w:gridCol w:w="1707"/>
        <w:gridCol w:w="1222"/>
        <w:gridCol w:w="181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630" w:hRule="atLeast"/>
        </w:trPr>
        <w:tc>
          <w:tcPr>
            <w:tcW w:w="1009" w:type="dxa"/>
            <w:vAlign w:val="center"/>
          </w:tcPr>
          <w:p>
            <w:pPr>
              <w:widowControl/>
              <w:spacing w:before="100" w:beforeAutospacing="1" w:after="100" w:afterAutospacing="1"/>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序号</w:t>
            </w:r>
          </w:p>
        </w:tc>
        <w:tc>
          <w:tcPr>
            <w:tcW w:w="1951" w:type="dxa"/>
            <w:vAlign w:val="center"/>
          </w:tcPr>
          <w:p>
            <w:pPr>
              <w:widowControl/>
              <w:spacing w:before="100" w:beforeAutospacing="1" w:after="100" w:afterAutospacing="1"/>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采购名称及型号</w:t>
            </w:r>
          </w:p>
        </w:tc>
        <w:tc>
          <w:tcPr>
            <w:tcW w:w="1360" w:type="dxa"/>
            <w:vAlign w:val="center"/>
          </w:tcPr>
          <w:p>
            <w:pPr>
              <w:widowControl/>
              <w:spacing w:before="100" w:beforeAutospacing="1" w:after="100" w:afterAutospacing="1"/>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采购内容及要求</w:t>
            </w:r>
          </w:p>
        </w:tc>
        <w:tc>
          <w:tcPr>
            <w:tcW w:w="1707" w:type="dxa"/>
            <w:vAlign w:val="center"/>
          </w:tcPr>
          <w:p>
            <w:pPr>
              <w:widowControl/>
              <w:spacing w:before="100" w:beforeAutospacing="1" w:after="100" w:afterAutospacing="1"/>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服务地点</w:t>
            </w:r>
          </w:p>
        </w:tc>
        <w:tc>
          <w:tcPr>
            <w:tcW w:w="1222" w:type="dxa"/>
            <w:vAlign w:val="center"/>
          </w:tcPr>
          <w:p>
            <w:pPr>
              <w:widowControl/>
              <w:spacing w:before="100" w:beforeAutospacing="1" w:after="100" w:afterAutospacing="1"/>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保修期</w:t>
            </w:r>
          </w:p>
        </w:tc>
        <w:tc>
          <w:tcPr>
            <w:tcW w:w="1812" w:type="dxa"/>
            <w:vAlign w:val="center"/>
          </w:tcPr>
          <w:p>
            <w:pPr>
              <w:widowControl/>
              <w:spacing w:before="100" w:beforeAutospacing="1" w:after="100" w:afterAutospacing="1"/>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kern w:val="0"/>
                <w:sz w:val="28"/>
                <w:szCs w:val="28"/>
              </w:rPr>
              <w:t>最高控制价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841" w:hRule="atLeast"/>
        </w:trPr>
        <w:tc>
          <w:tcPr>
            <w:tcW w:w="1009" w:type="dxa"/>
            <w:vAlign w:val="center"/>
          </w:tcPr>
          <w:p>
            <w:pPr>
              <w:spacing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p>
        </w:tc>
        <w:tc>
          <w:tcPr>
            <w:tcW w:w="1951" w:type="dxa"/>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思明控股数据中心临时机房设备</w:t>
            </w:r>
          </w:p>
        </w:tc>
        <w:tc>
          <w:tcPr>
            <w:tcW w:w="1360" w:type="dxa"/>
            <w:vAlign w:val="center"/>
          </w:tcPr>
          <w:p>
            <w:pPr>
              <w:spacing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详见第三章</w:t>
            </w:r>
          </w:p>
        </w:tc>
        <w:tc>
          <w:tcPr>
            <w:tcW w:w="1707" w:type="dxa"/>
            <w:vAlign w:val="center"/>
          </w:tcPr>
          <w:p>
            <w:pPr>
              <w:spacing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厦门市台东路68号1801单元</w:t>
            </w:r>
          </w:p>
        </w:tc>
        <w:tc>
          <w:tcPr>
            <w:tcW w:w="1222" w:type="dxa"/>
            <w:vAlign w:val="center"/>
          </w:tcPr>
          <w:p>
            <w:pPr>
              <w:spacing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叁年</w:t>
            </w:r>
          </w:p>
        </w:tc>
        <w:tc>
          <w:tcPr>
            <w:tcW w:w="1812" w:type="dxa"/>
            <w:vAlign w:val="center"/>
          </w:tcPr>
          <w:p>
            <w:pPr>
              <w:spacing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125万元</w:t>
            </w:r>
          </w:p>
        </w:tc>
      </w:tr>
    </w:tbl>
    <w:p>
      <w:pPr>
        <w:rPr>
          <w:rFonts w:ascii="仿宋" w:hAnsi="仿宋" w:eastAsia="仿宋"/>
          <w:sz w:val="28"/>
          <w:szCs w:val="28"/>
        </w:rPr>
      </w:pPr>
    </w:p>
    <w:p>
      <w:pPr>
        <w:spacing w:line="5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备注：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本招标文件中若有列明具体设备或材料型号、产地或品牌的，并非限制只能投用该型号或产地或品牌，而仅作为招标产品及技术指标的说明，投标人可以在满足招标文件相关具体选型技术与使用等要求的基础上，自行合理投报同等档次或以上的产品并详细说明产品的实际型号（规格、技术参数）、产地及品牌等技术参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2、交货期：合同签订后15个工作日内交付货物，合同签订后30个工作日内（含货物交付期）完成全部服务并通过验收可投入使用，各投标人应对此作出承诺。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3、供货地点：厦门市思明区台东路68号1801单元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4、投标人的投标报价不得超过本项目的控制价，否则将被视为无效投标响应。</w:t>
      </w:r>
    </w:p>
    <w:p>
      <w:pPr>
        <w:pStyle w:val="2"/>
        <w:spacing w:after="120" w:afterLines="50"/>
        <w:jc w:val="center"/>
        <w:rPr>
          <w:rFonts w:hint="eastAsia" w:ascii="方正小标宋简体" w:hAnsi="方正小标宋简体" w:eastAsia="方正小标宋简体" w:cs="方正小标宋简体"/>
          <w:b w:val="0"/>
          <w:bCs w:val="0"/>
          <w:kern w:val="0"/>
          <w:sz w:val="44"/>
          <w:szCs w:val="44"/>
        </w:rPr>
      </w:pPr>
      <w:bookmarkStart w:id="12" w:name="_Toc26017122"/>
      <w:r>
        <w:rPr>
          <w:rFonts w:hint="eastAsia" w:ascii="方正小标宋简体" w:hAnsi="方正小标宋简体" w:eastAsia="方正小标宋简体" w:cs="方正小标宋简体"/>
          <w:kern w:val="0"/>
          <w:sz w:val="44"/>
          <w:szCs w:val="44"/>
        </w:rPr>
        <w:t>第二章　投标人须知</w:t>
      </w:r>
      <w:bookmarkEnd w:id="12"/>
    </w:p>
    <w:p>
      <w:pPr>
        <w:spacing w:line="500" w:lineRule="exact"/>
        <w:ind w:firstLine="643" w:firstLineChars="20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投标人须知前附表</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本须知前附表的内容是与《投标人须知》中条款的内容对应的。如有矛盾，应以本须知前附表为准。</w:t>
      </w:r>
    </w:p>
    <w:tbl>
      <w:tblPr>
        <w:tblStyle w:val="19"/>
        <w:tblW w:w="906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94"/>
        <w:gridCol w:w="82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5" w:hRule="atLeast"/>
          <w:jc w:val="center"/>
        </w:trPr>
        <w:tc>
          <w:tcPr>
            <w:tcW w:w="794" w:type="dxa"/>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项号</w:t>
            </w:r>
          </w:p>
        </w:tc>
        <w:tc>
          <w:tcPr>
            <w:tcW w:w="8267" w:type="dxa"/>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编列内容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42" w:hRule="atLeast"/>
          <w:jc w:val="center"/>
        </w:trPr>
        <w:tc>
          <w:tcPr>
            <w:tcW w:w="794" w:type="dxa"/>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8267" w:type="dxa"/>
            <w:vAlign w:val="center"/>
          </w:tcPr>
          <w:p>
            <w:pPr>
              <w:spacing w:line="400" w:lineRule="exact"/>
              <w:rPr>
                <w:rFonts w:hint="eastAsia" w:ascii="仿宋_GB2312" w:hAnsi="仿宋_GB2312" w:eastAsia="仿宋_GB2312" w:cs="仿宋_GB2312"/>
                <w:bCs/>
                <w:sz w:val="32"/>
                <w:szCs w:val="32"/>
                <w:lang w:val="zh-CN"/>
              </w:rPr>
            </w:pPr>
            <w:r>
              <w:rPr>
                <w:rFonts w:hint="eastAsia" w:ascii="仿宋_GB2312" w:hAnsi="仿宋_GB2312" w:eastAsia="仿宋_GB2312" w:cs="仿宋_GB2312"/>
                <w:sz w:val="32"/>
                <w:szCs w:val="32"/>
              </w:rPr>
              <w:t>项目名称：思明控股临时机房设备</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 购 人：</w:t>
            </w:r>
            <w:bookmarkStart w:id="13" w:name="_Hlk111028207"/>
            <w:r>
              <w:rPr>
                <w:rFonts w:hint="eastAsia" w:ascii="仿宋_GB2312" w:hAnsi="仿宋_GB2312" w:eastAsia="仿宋_GB2312" w:cs="仿宋_GB2312"/>
                <w:sz w:val="32"/>
                <w:szCs w:val="32"/>
              </w:rPr>
              <w:t>厦门开元数字科技有限公司</w:t>
            </w:r>
            <w:bookmarkEnd w:id="13"/>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项目内容：见“招标项目一览表”</w:t>
            </w:r>
          </w:p>
          <w:p>
            <w:pPr>
              <w:spacing w:line="4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sz w:val="32"/>
                <w:szCs w:val="32"/>
                <w:lang w:val="zh-CN"/>
              </w:rPr>
              <w:t>X</w:t>
            </w:r>
            <w:r>
              <w:rPr>
                <w:rFonts w:hint="eastAsia" w:ascii="仿宋_GB2312" w:hAnsi="仿宋_GB2312" w:eastAsia="仿宋_GB2312" w:cs="仿宋_GB2312"/>
                <w:sz w:val="32"/>
                <w:szCs w:val="32"/>
              </w:rPr>
              <w:t>MKYSK-2022002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6" w:hRule="atLeast"/>
          <w:jc w:val="center"/>
        </w:trPr>
        <w:tc>
          <w:tcPr>
            <w:tcW w:w="794" w:type="dxa"/>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8267" w:type="dxa"/>
            <w:vAlign w:val="center"/>
          </w:tcPr>
          <w:p>
            <w:pPr>
              <w:tabs>
                <w:tab w:val="left" w:pos="-1260"/>
                <w:tab w:val="left" w:pos="10260"/>
              </w:tabs>
              <w:spacing w:line="400" w:lineRule="exact"/>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资格标准：</w:t>
            </w:r>
            <w:r>
              <w:rPr>
                <w:rFonts w:hint="eastAsia" w:ascii="仿宋_GB2312" w:hAnsi="仿宋_GB2312" w:eastAsia="仿宋_GB2312" w:cs="仿宋_GB2312"/>
                <w:spacing w:val="-4"/>
                <w:sz w:val="32"/>
                <w:szCs w:val="32"/>
              </w:rPr>
              <w:t>详细见</w:t>
            </w:r>
            <w:r>
              <w:rPr>
                <w:rFonts w:hint="eastAsia" w:ascii="仿宋_GB2312" w:hAnsi="仿宋_GB2312" w:eastAsia="仿宋_GB2312" w:cs="仿宋_GB2312"/>
                <w:sz w:val="32"/>
                <w:szCs w:val="32"/>
              </w:rPr>
              <w:t xml:space="preserve"> “投标资格要求”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7" w:hRule="atLeast"/>
          <w:jc w:val="center"/>
        </w:trPr>
        <w:tc>
          <w:tcPr>
            <w:tcW w:w="794" w:type="dxa"/>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8267" w:type="dxa"/>
            <w:vAlign w:val="center"/>
          </w:tcPr>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投标有效期：</w:t>
            </w:r>
            <w:r>
              <w:rPr>
                <w:rFonts w:hint="eastAsia" w:ascii="仿宋_GB2312" w:hAnsi="仿宋_GB2312" w:eastAsia="仿宋_GB2312" w:cs="仿宋_GB2312"/>
                <w:kern w:val="0"/>
                <w:sz w:val="32"/>
                <w:szCs w:val="32"/>
              </w:rPr>
              <w:t>投标截止期结束后90日历日。</w:t>
            </w:r>
            <w:r>
              <w:rPr>
                <w:rFonts w:hint="eastAsia" w:ascii="仿宋_GB2312" w:hAnsi="仿宋_GB2312" w:eastAsia="仿宋_GB2312" w:cs="仿宋_GB2312"/>
                <w:sz w:val="32"/>
                <w:szCs w:val="32"/>
              </w:rPr>
              <w:t>有效期不足将导致其投标文件被拒绝。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49" w:hRule="atLeast"/>
          <w:jc w:val="center"/>
        </w:trPr>
        <w:tc>
          <w:tcPr>
            <w:tcW w:w="794" w:type="dxa"/>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8267" w:type="dxa"/>
            <w:vAlign w:val="center"/>
          </w:tcPr>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投标文件递交地址：</w:t>
            </w:r>
            <w:r>
              <w:rPr>
                <w:rFonts w:hint="eastAsia" w:ascii="仿宋_GB2312" w:hAnsi="仿宋_GB2312" w:eastAsia="仿宋_GB2312" w:cs="仿宋_GB2312"/>
                <w:sz w:val="32"/>
                <w:szCs w:val="32"/>
                <w:u w:val="single"/>
              </w:rPr>
              <w:t>厦门市思明区台东路68号1801单元</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投标截止时间：见“第一章 招标公告”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31" w:hRule="atLeast"/>
          <w:jc w:val="center"/>
        </w:trPr>
        <w:tc>
          <w:tcPr>
            <w:tcW w:w="794" w:type="dxa"/>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8267" w:type="dxa"/>
            <w:vAlign w:val="center"/>
          </w:tcPr>
          <w:p>
            <w:pPr>
              <w:spacing w:line="400" w:lineRule="exact"/>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★投标保证金：</w:t>
            </w:r>
            <w:r>
              <w:rPr>
                <w:rFonts w:hint="eastAsia" w:ascii="仿宋_GB2312" w:hAnsi="仿宋_GB2312" w:eastAsia="仿宋_GB2312" w:cs="仿宋_GB2312"/>
                <w:bCs/>
                <w:sz w:val="32"/>
                <w:szCs w:val="32"/>
              </w:rPr>
              <w:t>人民币</w:t>
            </w:r>
            <w:r>
              <w:rPr>
                <w:rFonts w:hint="eastAsia" w:ascii="仿宋_GB2312" w:hAnsi="仿宋_GB2312" w:eastAsia="仿宋_GB2312" w:cs="仿宋_GB2312"/>
                <w:bCs/>
                <w:sz w:val="32"/>
                <w:szCs w:val="32"/>
                <w:lang w:val="en-US" w:eastAsia="zh-CN"/>
              </w:rPr>
              <w:t>壹</w:t>
            </w:r>
            <w:r>
              <w:rPr>
                <w:rFonts w:hint="eastAsia" w:ascii="仿宋_GB2312" w:hAnsi="仿宋_GB2312" w:eastAsia="仿宋_GB2312" w:cs="仿宋_GB2312"/>
                <w:bCs/>
                <w:sz w:val="32"/>
                <w:szCs w:val="32"/>
              </w:rPr>
              <w:t>万元整。</w:t>
            </w:r>
          </w:p>
          <w:p>
            <w:pPr>
              <w:spacing w:line="400" w:lineRule="exact"/>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1、投标保证金以转账、电汇等形式提交，必须在投标截止时间前到达指定账户，不收取现金、现金支票，不接受任何个人名义的转账，否则作未提交投标保证金处理。</w:t>
            </w:r>
            <w:r>
              <w:rPr>
                <w:rFonts w:hint="eastAsia" w:ascii="仿宋_GB2312" w:hAnsi="仿宋_GB2312" w:eastAsia="仿宋_GB2312" w:cs="仿宋_GB2312"/>
                <w:bCs/>
                <w:sz w:val="32"/>
                <w:szCs w:val="32"/>
              </w:rPr>
              <w:t>投标文件中应体现投标保证金的缴交凭证。</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2、保证金的退还：</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①招标人将在《中标通知书》发出之日起30个工作日内予以原额无息退还未中标人的投标保证金。</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②在中标人签定合同后20个工作日内，中标人凭合同原件或者合同复印件（加盖中标人公章）退还投标保证金。投标保证金退还系原额无息退返。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31" w:hRule="atLeast"/>
          <w:jc w:val="center"/>
        </w:trPr>
        <w:tc>
          <w:tcPr>
            <w:tcW w:w="794" w:type="dxa"/>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8267" w:type="dxa"/>
            <w:vAlign w:val="center"/>
          </w:tcPr>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中标供应商在签订合同前，应向招标人缴纳</w:t>
            </w:r>
            <w:r>
              <w:rPr>
                <w:rFonts w:hint="eastAsia" w:ascii="仿宋_GB2312" w:hAnsi="仿宋_GB2312" w:eastAsia="仿宋_GB2312" w:cs="仿宋_GB2312"/>
                <w:sz w:val="32"/>
                <w:szCs w:val="32"/>
                <w:lang w:val="en-US" w:eastAsia="zh-CN"/>
              </w:rPr>
              <w:t>拾</w:t>
            </w:r>
            <w:r>
              <w:rPr>
                <w:rFonts w:hint="eastAsia" w:ascii="仿宋_GB2312" w:hAnsi="仿宋_GB2312" w:eastAsia="仿宋_GB2312" w:cs="仿宋_GB2312"/>
                <w:bCs/>
                <w:sz w:val="32"/>
                <w:szCs w:val="32"/>
              </w:rPr>
              <w:t>万元</w:t>
            </w:r>
            <w:r>
              <w:rPr>
                <w:rFonts w:hint="eastAsia" w:ascii="仿宋_GB2312" w:hAnsi="仿宋_GB2312" w:eastAsia="仿宋_GB2312" w:cs="仿宋_GB2312"/>
                <w:sz w:val="32"/>
                <w:szCs w:val="32"/>
              </w:rPr>
              <w:t>履约保证金。</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1.履约保证金数额：</w:t>
            </w:r>
            <w:r>
              <w:rPr>
                <w:rFonts w:hint="eastAsia" w:ascii="仿宋_GB2312" w:hAnsi="仿宋_GB2312" w:eastAsia="仿宋_GB2312" w:cs="仿宋_GB2312"/>
                <w:sz w:val="32"/>
                <w:szCs w:val="32"/>
                <w:lang w:val="en-US" w:eastAsia="zh-CN"/>
              </w:rPr>
              <w:t>拾万</w:t>
            </w:r>
            <w:r>
              <w:rPr>
                <w:rFonts w:hint="eastAsia" w:ascii="仿宋_GB2312" w:hAnsi="仿宋_GB2312" w:eastAsia="仿宋_GB2312" w:cs="仿宋_GB2312"/>
                <w:bCs/>
                <w:sz w:val="32"/>
                <w:szCs w:val="32"/>
              </w:rPr>
              <w:t>元</w:t>
            </w:r>
            <w:r>
              <w:rPr>
                <w:rFonts w:hint="eastAsia" w:ascii="仿宋_GB2312" w:hAnsi="仿宋_GB2312" w:eastAsia="仿宋_GB2312" w:cs="仿宋_GB2312"/>
                <w:sz w:val="32"/>
                <w:szCs w:val="32"/>
              </w:rPr>
              <w:t>（指人民币，下同）。</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2.履约保证金形式：对公转账。</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3.中标人在收到中标通知书后签定采购合同，原投标保证金直接作为合同履约保证金。履约保证金在双方合同终止、交接清楚、质保期（或保修期）结束和债权债务等关系理顺后30日历天内无息返还。</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4.中标人如在服务期限内不能完成招投标文件和采购合同约定，招标人有权解除合同，履约保证金不予退还。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31" w:hRule="atLeast"/>
          <w:jc w:val="center"/>
        </w:trPr>
        <w:tc>
          <w:tcPr>
            <w:tcW w:w="794" w:type="dxa"/>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8267" w:type="dxa"/>
            <w:vAlign w:val="center"/>
          </w:tcPr>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★招标预算价（即最高控制价）为：</w:t>
            </w:r>
            <w:r>
              <w:rPr>
                <w:rFonts w:hint="eastAsia" w:ascii="仿宋_GB2312" w:hAnsi="仿宋_GB2312" w:eastAsia="仿宋_GB2312" w:cs="仿宋_GB2312"/>
                <w:bCs/>
                <w:sz w:val="32"/>
                <w:szCs w:val="32"/>
              </w:rPr>
              <w:t>125</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sz w:val="32"/>
                <w:szCs w:val="32"/>
              </w:rPr>
              <w:t>投标人投标报价超过预算价的投标为无效投标。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65" w:hRule="atLeast"/>
          <w:jc w:val="center"/>
        </w:trPr>
        <w:tc>
          <w:tcPr>
            <w:tcW w:w="794" w:type="dxa"/>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8267" w:type="dxa"/>
            <w:vAlign w:val="center"/>
          </w:tcPr>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标准和方法：本次招标采用综合评分法评标。首先，由评标委员会根据招标文件要求，审核各投标文件是否合格、有效，凡不符合专业条件要求和未实质性响应招标文件要求的投标均不进入评分程序。最终按得分排序推荐中标候选人。如招标人对投标人响应文件的技术规格要求有异议，可要求投标人提供相对应品牌型号的设备进行验证测试；若存在实测结果与响应文件不一致的虚假应标行为，投标人本次投标视为无效，且将被列入招标人的供应商黑名单，一年之内禁止参与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9" w:hRule="atLeast"/>
          <w:jc w:val="center"/>
        </w:trPr>
        <w:tc>
          <w:tcPr>
            <w:tcW w:w="794" w:type="dxa"/>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8267" w:type="dxa"/>
            <w:vAlign w:val="center"/>
          </w:tcPr>
          <w:p>
            <w:pPr>
              <w:spacing w:line="4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投标提醒：</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1、投标保证金手续办理完毕后，请再次核对账号、收款单位是否正确，并确保在投标截止时间前到账。</w:t>
            </w:r>
          </w:p>
          <w:p>
            <w:pPr>
              <w:spacing w:line="400" w:lineRule="exact"/>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2、为方便保证金的收取工作，</w:t>
            </w:r>
            <w:r>
              <w:rPr>
                <w:rFonts w:hint="eastAsia" w:ascii="仿宋_GB2312" w:hAnsi="仿宋_GB2312" w:eastAsia="仿宋_GB2312" w:cs="仿宋_GB2312"/>
                <w:bCs/>
                <w:kern w:val="0"/>
                <w:sz w:val="32"/>
                <w:szCs w:val="32"/>
              </w:rPr>
              <w:t>除投标文件中的缴交凭证外，</w:t>
            </w:r>
            <w:r>
              <w:rPr>
                <w:rFonts w:hint="eastAsia" w:ascii="仿宋_GB2312" w:hAnsi="仿宋_GB2312" w:eastAsia="仿宋_GB2312" w:cs="仿宋_GB2312"/>
                <w:bCs/>
                <w:sz w:val="32"/>
                <w:szCs w:val="32"/>
              </w:rPr>
              <w:t>投标人在递交投标文件时应单独提供保证金缴交证明复印件一份给招标人投标文件接收人员。</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3、为确保在投标截止时间前递交投标文件，请务必考虑交通拥挤及路上不可预见的其他因素。</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4、本文件第五章的投标文件格式中要求投标人盖章、投标代表签字的均应按要求盖章、签字。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9" w:hRule="atLeast"/>
          <w:jc w:val="center"/>
        </w:trPr>
        <w:tc>
          <w:tcPr>
            <w:tcW w:w="794" w:type="dxa"/>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8267" w:type="dxa"/>
            <w:vAlign w:val="center"/>
          </w:tcPr>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投标资格要求与投标资格证明文件</w:t>
            </w:r>
          </w:p>
          <w:p>
            <w:pPr>
              <w:numPr>
                <w:ilvl w:val="0"/>
                <w:numId w:val="1"/>
              </w:numPr>
              <w:spacing w:line="400" w:lineRule="exact"/>
              <w:ind w:left="-9"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★投标人具有独立承担民事责任的能力，并具备参加招投标、政府采购活动的合法条件。投标人必须提供经年检合格的企业法人营业执照（副本）的有效复印件。</w:t>
            </w:r>
          </w:p>
          <w:p>
            <w:pPr>
              <w:numPr>
                <w:ilvl w:val="0"/>
                <w:numId w:val="1"/>
              </w:numPr>
              <w:spacing w:line="400" w:lineRule="exact"/>
              <w:ind w:left="-9"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投标人代表不是法定代表人的，应提供法定代表人授权书原件，以及投标人代表的身份证复印件。</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以上资格证明文件均应加盖投标人公章，原件备查。</w:t>
            </w:r>
          </w:p>
        </w:tc>
      </w:tr>
    </w:tbl>
    <w:p>
      <w:pPr>
        <w:pStyle w:val="3"/>
        <w:keepNext w:val="0"/>
        <w:keepLines w:val="0"/>
        <w:spacing w:before="0" w:after="0" w:line="500" w:lineRule="exact"/>
        <w:rPr>
          <w:rFonts w:hint="eastAsia" w:ascii="仿宋_GB2312" w:hAnsi="仿宋_GB2312" w:eastAsia="仿宋_GB2312" w:cs="仿宋_GB2312"/>
          <w:b/>
          <w:bCs/>
          <w:sz w:val="32"/>
        </w:rPr>
      </w:pPr>
      <w:bookmarkStart w:id="14" w:name="_Toc26017123"/>
      <w:r>
        <w:rPr>
          <w:rFonts w:hint="eastAsia" w:ascii="仿宋_GB2312" w:hAnsi="仿宋_GB2312" w:eastAsia="仿宋_GB2312" w:cs="仿宋_GB2312"/>
          <w:b/>
          <w:bCs/>
          <w:sz w:val="32"/>
        </w:rPr>
        <w:t>第一节  说  明</w:t>
      </w:r>
      <w:bookmarkEnd w:id="14"/>
    </w:p>
    <w:p>
      <w:pPr>
        <w:pStyle w:val="4"/>
        <w:keepNext w:val="0"/>
        <w:keepLines w:val="0"/>
        <w:pageBreakBefore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val="0"/>
          <w:sz w:val="32"/>
          <w:szCs w:val="32"/>
        </w:rPr>
      </w:pPr>
      <w:bookmarkStart w:id="15" w:name="_Toc191892300"/>
      <w:bookmarkStart w:id="16" w:name="_Toc192925648"/>
      <w:bookmarkStart w:id="17" w:name="_Toc26017124"/>
      <w:r>
        <w:rPr>
          <w:rFonts w:hint="eastAsia" w:ascii="仿宋_GB2312" w:hAnsi="仿宋_GB2312" w:eastAsia="仿宋_GB2312" w:cs="仿宋_GB2312"/>
          <w:b w:val="0"/>
          <w:bCs w:val="0"/>
          <w:sz w:val="32"/>
          <w:szCs w:val="32"/>
        </w:rPr>
        <w:t>1. 适用范围</w:t>
      </w:r>
      <w:bookmarkEnd w:id="15"/>
      <w:bookmarkEnd w:id="16"/>
      <w:bookmarkEnd w:id="17"/>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1.1本招标文件仅适用于</w:t>
      </w:r>
      <w:r>
        <w:rPr>
          <w:rFonts w:hint="eastAsia" w:ascii="仿宋_GB2312" w:hAnsi="仿宋_GB2312" w:eastAsia="仿宋_GB2312" w:cs="仿宋_GB2312"/>
          <w:sz w:val="32"/>
          <w:szCs w:val="32"/>
          <w:u w:val="single"/>
        </w:rPr>
        <w:t>思明控股数据中心临时机房设备采购。</w:t>
      </w:r>
    </w:p>
    <w:p>
      <w:pPr>
        <w:pStyle w:val="4"/>
        <w:keepNext w:val="0"/>
        <w:keepLines w:val="0"/>
        <w:pageBreakBefore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val="0"/>
          <w:sz w:val="32"/>
          <w:szCs w:val="32"/>
        </w:rPr>
      </w:pPr>
      <w:bookmarkStart w:id="18" w:name="_Toc192925649"/>
      <w:bookmarkStart w:id="19" w:name="_Toc26017125"/>
      <w:bookmarkStart w:id="20" w:name="_Toc191892301"/>
      <w:r>
        <w:rPr>
          <w:rFonts w:hint="eastAsia" w:ascii="仿宋_GB2312" w:hAnsi="仿宋_GB2312" w:eastAsia="仿宋_GB2312" w:cs="仿宋_GB2312"/>
          <w:b w:val="0"/>
          <w:bCs w:val="0"/>
          <w:sz w:val="32"/>
          <w:szCs w:val="32"/>
        </w:rPr>
        <w:t>2. 定义</w:t>
      </w:r>
      <w:bookmarkEnd w:id="18"/>
      <w:bookmarkEnd w:id="19"/>
      <w:bookmarkEnd w:id="20"/>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2.1“招标人”系指厦门开元数字科技有限公司。</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2.2“投标人”系指获取了本招标文件，且已经提交或者准备提交本次投标文件的制造商或供货商。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“货物”系指卖方按招标文件规定向招标人提供的一切设备、机械、仪器仪表、备品备件、工具、手册及其它有关技术资料和材料。</w:t>
      </w:r>
    </w:p>
    <w:p>
      <w:pPr>
        <w:pStyle w:val="4"/>
        <w:keepNext w:val="0"/>
        <w:keepLines w:val="0"/>
        <w:pageBreakBefore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val="0"/>
          <w:sz w:val="32"/>
          <w:szCs w:val="32"/>
        </w:rPr>
      </w:pPr>
      <w:bookmarkStart w:id="21" w:name="_Toc192925650"/>
      <w:bookmarkStart w:id="22" w:name="_Toc191892302"/>
      <w:bookmarkStart w:id="23" w:name="_Toc26017126"/>
      <w:r>
        <w:rPr>
          <w:rFonts w:hint="eastAsia" w:ascii="仿宋_GB2312" w:hAnsi="仿宋_GB2312" w:eastAsia="仿宋_GB2312" w:cs="仿宋_GB2312"/>
          <w:b w:val="0"/>
          <w:bCs w:val="0"/>
          <w:sz w:val="32"/>
          <w:szCs w:val="32"/>
        </w:rPr>
        <w:t>3. 合格的投标人</w:t>
      </w:r>
      <w:bookmarkEnd w:id="21"/>
      <w:bookmarkEnd w:id="22"/>
      <w:bookmarkEnd w:id="23"/>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3.1凡有能力提供本招标文件所述货物及服务的，符合本招标文件规定资格要求（具体要求见 “投标资格要求与投标资格证明文件”），符合政府采购法第二十二条的规定的均可能成为合格的投标人。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投标人应遵守中国的有关法律、法规和规章的规定</w:t>
      </w:r>
      <w:r>
        <w:rPr>
          <w:rFonts w:hint="eastAsia" w:ascii="仿宋_GB2312" w:hAnsi="仿宋_GB2312" w:eastAsia="仿宋_GB2312" w:cs="仿宋_GB2312"/>
          <w:bCs/>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一个投标人对同一个合同包只能提交一个投标文件。如果投标人之间存在下列互为关联关系的情形之一的，不得同时参加本项目投标：</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法定代表人为同一人的两个及两个以上法人；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母公司、直接或间接持股50％及以上的被投资公司;</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均为同一家母公司直接或间接持股50％及以上的被投资公司。</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 本项目不接受联合体形式投标。</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 投标代理人在同一个合同包中只能接受一个投标人的委托参加投标。</w:t>
      </w:r>
    </w:p>
    <w:p>
      <w:pPr>
        <w:pStyle w:val="4"/>
        <w:keepNext w:val="0"/>
        <w:keepLines w:val="0"/>
        <w:pageBreakBefore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val="0"/>
          <w:sz w:val="32"/>
          <w:szCs w:val="32"/>
        </w:rPr>
      </w:pPr>
      <w:bookmarkStart w:id="24" w:name="_Toc192925651"/>
      <w:bookmarkStart w:id="25" w:name="_Toc191892303"/>
      <w:bookmarkStart w:id="26" w:name="_Toc26017127"/>
      <w:r>
        <w:rPr>
          <w:rFonts w:hint="eastAsia" w:ascii="仿宋_GB2312" w:hAnsi="仿宋_GB2312" w:eastAsia="仿宋_GB2312" w:cs="仿宋_GB2312"/>
          <w:b w:val="0"/>
          <w:bCs w:val="0"/>
          <w:sz w:val="32"/>
          <w:szCs w:val="32"/>
        </w:rPr>
        <w:t>4. 投标费用</w:t>
      </w:r>
      <w:bookmarkEnd w:id="24"/>
      <w:bookmarkEnd w:id="25"/>
      <w:bookmarkEnd w:id="26"/>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投标人自行承担其参加投标所涉及的一切费用。</w:t>
      </w:r>
      <w:bookmarkStart w:id="27" w:name="_Toc191892304"/>
      <w:bookmarkStart w:id="28" w:name="_Toc192925652"/>
    </w:p>
    <w:p>
      <w:pPr>
        <w:pStyle w:val="3"/>
        <w:keepNext w:val="0"/>
        <w:keepLines w:val="0"/>
        <w:pageBreakBefore w:val="0"/>
        <w:kinsoku/>
        <w:wordWrap/>
        <w:overflowPunct/>
        <w:topLinePunct w:val="0"/>
        <w:autoSpaceDE/>
        <w:autoSpaceDN/>
        <w:bidi w:val="0"/>
        <w:spacing w:before="0" w:after="0" w:line="560" w:lineRule="exact"/>
        <w:textAlignment w:val="auto"/>
        <w:rPr>
          <w:rFonts w:hint="eastAsia" w:ascii="仿宋_GB2312" w:hAnsi="仿宋_GB2312" w:eastAsia="仿宋_GB2312" w:cs="仿宋_GB2312"/>
          <w:b/>
          <w:bCs/>
          <w:sz w:val="32"/>
        </w:rPr>
      </w:pPr>
      <w:bookmarkStart w:id="29" w:name="_Toc26017128"/>
      <w:r>
        <w:rPr>
          <w:rFonts w:hint="eastAsia" w:ascii="仿宋_GB2312" w:hAnsi="仿宋_GB2312" w:eastAsia="仿宋_GB2312" w:cs="仿宋_GB2312"/>
          <w:b/>
          <w:bCs/>
          <w:sz w:val="32"/>
        </w:rPr>
        <w:t>第二节  招标文件说明</w:t>
      </w:r>
      <w:bookmarkEnd w:id="27"/>
      <w:bookmarkEnd w:id="28"/>
      <w:bookmarkEnd w:id="29"/>
    </w:p>
    <w:p>
      <w:pPr>
        <w:pStyle w:val="4"/>
        <w:keepNext w:val="0"/>
        <w:keepLines w:val="0"/>
        <w:pageBreakBefore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val="0"/>
          <w:sz w:val="32"/>
        </w:rPr>
      </w:pPr>
      <w:bookmarkStart w:id="30" w:name="_Toc26017129"/>
      <w:bookmarkStart w:id="31" w:name="_Toc191892305"/>
      <w:bookmarkStart w:id="32" w:name="_Toc192925653"/>
      <w:r>
        <w:rPr>
          <w:rFonts w:hint="eastAsia" w:ascii="仿宋_GB2312" w:hAnsi="仿宋_GB2312" w:eastAsia="仿宋_GB2312" w:cs="仿宋_GB2312"/>
          <w:b w:val="0"/>
          <w:bCs w:val="0"/>
          <w:sz w:val="32"/>
        </w:rPr>
        <w:t>5. 招标文件的组成</w:t>
      </w:r>
      <w:bookmarkEnd w:id="30"/>
      <w:bookmarkEnd w:id="31"/>
      <w:bookmarkEnd w:id="32"/>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sz w:val="32"/>
        </w:rPr>
      </w:pPr>
      <w:bookmarkStart w:id="33" w:name="_Toc523325149"/>
      <w:bookmarkStart w:id="34" w:name="_Toc523325329"/>
      <w:r>
        <w:rPr>
          <w:rFonts w:hint="eastAsia" w:ascii="仿宋_GB2312" w:hAnsi="仿宋_GB2312" w:eastAsia="仿宋_GB2312" w:cs="仿宋_GB2312"/>
          <w:sz w:val="32"/>
        </w:rPr>
        <w:t>5.1招标文件用以阐明所需货物及服务招标程序和合同主要条款。招标文件由下述主要部分组成：</w:t>
      </w:r>
      <w:bookmarkEnd w:id="33"/>
      <w:bookmarkEnd w:id="34"/>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sz w:val="32"/>
        </w:rPr>
      </w:pPr>
      <w:bookmarkStart w:id="35" w:name="_Toc523325330"/>
      <w:bookmarkStart w:id="36" w:name="_Toc523325150"/>
      <w:r>
        <w:rPr>
          <w:rFonts w:hint="eastAsia" w:ascii="仿宋_GB2312" w:hAnsi="仿宋_GB2312" w:eastAsia="仿宋_GB2312" w:cs="仿宋_GB2312"/>
          <w:sz w:val="32"/>
        </w:rPr>
        <w:t xml:space="preserve">⑴ </w:t>
      </w:r>
      <w:bookmarkEnd w:id="35"/>
      <w:bookmarkEnd w:id="36"/>
      <w:r>
        <w:rPr>
          <w:rFonts w:hint="eastAsia" w:ascii="仿宋_GB2312" w:hAnsi="仿宋_GB2312" w:eastAsia="仿宋_GB2312" w:cs="仿宋_GB2312"/>
          <w:sz w:val="32"/>
        </w:rPr>
        <w:t>招标公告</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sz w:val="32"/>
        </w:rPr>
      </w:pPr>
      <w:bookmarkStart w:id="37" w:name="_Toc523325331"/>
      <w:bookmarkStart w:id="38" w:name="_Toc523325151"/>
      <w:r>
        <w:rPr>
          <w:rFonts w:hint="eastAsia" w:ascii="仿宋_GB2312" w:hAnsi="仿宋_GB2312" w:eastAsia="仿宋_GB2312" w:cs="仿宋_GB2312"/>
          <w:sz w:val="32"/>
        </w:rPr>
        <w:t>⑵ 投标人须知</w:t>
      </w:r>
      <w:bookmarkEnd w:id="37"/>
      <w:bookmarkEnd w:id="38"/>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sz w:val="32"/>
        </w:rPr>
      </w:pPr>
      <w:bookmarkStart w:id="39" w:name="_Toc523325332"/>
      <w:bookmarkStart w:id="40" w:name="_Toc523325152"/>
      <w:r>
        <w:rPr>
          <w:rFonts w:hint="eastAsia" w:ascii="仿宋_GB2312" w:hAnsi="仿宋_GB2312" w:eastAsia="仿宋_GB2312" w:cs="仿宋_GB2312"/>
          <w:sz w:val="32"/>
        </w:rPr>
        <w:t>⑶ 招标内容及要求</w:t>
      </w:r>
      <w:bookmarkEnd w:id="39"/>
      <w:bookmarkEnd w:id="40"/>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sz w:val="32"/>
        </w:rPr>
      </w:pPr>
      <w:bookmarkStart w:id="41" w:name="_Toc523325333"/>
      <w:bookmarkStart w:id="42" w:name="_Toc523325153"/>
      <w:r>
        <w:rPr>
          <w:rFonts w:hint="eastAsia" w:ascii="仿宋_GB2312" w:hAnsi="仿宋_GB2312" w:eastAsia="仿宋_GB2312" w:cs="仿宋_GB2312"/>
          <w:sz w:val="32"/>
        </w:rPr>
        <w:t>⑷ 投标文件格式</w:t>
      </w:r>
      <w:bookmarkEnd w:id="41"/>
      <w:bookmarkEnd w:id="42"/>
      <w:bookmarkStart w:id="43" w:name="_Toc430488644"/>
      <w:bookmarkStart w:id="44" w:name="_Toc415567497"/>
      <w:bookmarkStart w:id="45" w:name="_Toc430492126"/>
      <w:bookmarkStart w:id="46" w:name="_Toc430489119"/>
      <w:bookmarkStart w:id="47" w:name="_Toc430490612"/>
      <w:bookmarkStart w:id="48" w:name="_Toc430422413"/>
      <w:bookmarkStart w:id="49" w:name="_Toc430488851"/>
      <w:bookmarkStart w:id="50" w:name="_Toc192925654"/>
      <w:bookmarkStart w:id="51" w:name="_Toc191892306"/>
    </w:p>
    <w:p>
      <w:pPr>
        <w:pStyle w:val="4"/>
        <w:keepNext w:val="0"/>
        <w:keepLines w:val="0"/>
        <w:pageBreakBefore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val="0"/>
          <w:sz w:val="32"/>
        </w:rPr>
      </w:pPr>
      <w:bookmarkStart w:id="52" w:name="_Toc26017130"/>
      <w:r>
        <w:rPr>
          <w:rFonts w:hint="eastAsia" w:ascii="仿宋_GB2312" w:hAnsi="仿宋_GB2312" w:eastAsia="仿宋_GB2312" w:cs="仿宋_GB2312"/>
          <w:b w:val="0"/>
          <w:bCs w:val="0"/>
          <w:sz w:val="32"/>
        </w:rPr>
        <w:t>6.</w:t>
      </w:r>
      <w:bookmarkEnd w:id="43"/>
      <w:bookmarkEnd w:id="44"/>
      <w:bookmarkEnd w:id="45"/>
      <w:bookmarkEnd w:id="46"/>
      <w:bookmarkEnd w:id="47"/>
      <w:bookmarkEnd w:id="48"/>
      <w:bookmarkEnd w:id="49"/>
      <w:r>
        <w:rPr>
          <w:rFonts w:hint="eastAsia" w:ascii="仿宋_GB2312" w:hAnsi="仿宋_GB2312" w:eastAsia="仿宋_GB2312" w:cs="仿宋_GB2312"/>
          <w:b w:val="0"/>
          <w:bCs w:val="0"/>
          <w:sz w:val="32"/>
        </w:rPr>
        <w:t xml:space="preserve"> 招标文件的澄清</w:t>
      </w:r>
      <w:bookmarkEnd w:id="50"/>
      <w:bookmarkEnd w:id="51"/>
      <w:bookmarkEnd w:id="52"/>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sz w:val="32"/>
        </w:rPr>
      </w:pPr>
      <w:bookmarkStart w:id="53" w:name="_Toc523325155"/>
      <w:bookmarkStart w:id="54" w:name="_Toc523325335"/>
      <w:r>
        <w:rPr>
          <w:rFonts w:hint="eastAsia" w:ascii="仿宋_GB2312" w:hAnsi="仿宋_GB2312" w:eastAsia="仿宋_GB2312" w:cs="仿宋_GB2312"/>
          <w:sz w:val="32"/>
        </w:rPr>
        <w:t>6.1投标人对招标文件如有疑问，可要求澄清。要求澄清应按投标邀请中载明的地址以书面形式（包括信函、电报或传真，下同）通知招标人。招标人将视情况在投标截止时间5个日历日（如至原定截止时间不足5个日历日，则需延长开标时间）前，将不标明查询来源的书面答复发给所有投标人，并在发布招标公告的网站上发布更正公告。该澄清内容为招标文件的组成部分。</w:t>
      </w:r>
      <w:bookmarkEnd w:id="53"/>
      <w:bookmarkEnd w:id="54"/>
      <w:bookmarkStart w:id="55" w:name="_Toc430488645"/>
      <w:bookmarkStart w:id="56" w:name="_Toc430422414"/>
      <w:bookmarkStart w:id="57" w:name="_Toc430490613"/>
      <w:bookmarkStart w:id="58" w:name="_Toc191892307"/>
      <w:bookmarkStart w:id="59" w:name="_Toc430492127"/>
      <w:bookmarkStart w:id="60" w:name="_Toc415567498"/>
      <w:bookmarkStart w:id="61" w:name="_Toc430488852"/>
      <w:bookmarkStart w:id="62" w:name="_Toc430489120"/>
      <w:bookmarkStart w:id="63" w:name="_Toc192925655"/>
    </w:p>
    <w:p>
      <w:pPr>
        <w:pStyle w:val="4"/>
        <w:keepNext w:val="0"/>
        <w:keepLines w:val="0"/>
        <w:pageBreakBefore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val="0"/>
          <w:sz w:val="32"/>
        </w:rPr>
      </w:pPr>
      <w:bookmarkStart w:id="64" w:name="_Toc26017131"/>
      <w:r>
        <w:rPr>
          <w:rFonts w:hint="eastAsia" w:ascii="仿宋_GB2312" w:hAnsi="仿宋_GB2312" w:eastAsia="仿宋_GB2312" w:cs="仿宋_GB2312"/>
          <w:b w:val="0"/>
          <w:bCs w:val="0"/>
          <w:sz w:val="32"/>
        </w:rPr>
        <w:t>7. 招标文件的修改</w:t>
      </w:r>
      <w:bookmarkEnd w:id="55"/>
      <w:bookmarkEnd w:id="56"/>
      <w:bookmarkEnd w:id="57"/>
      <w:bookmarkEnd w:id="58"/>
      <w:bookmarkEnd w:id="59"/>
      <w:bookmarkEnd w:id="60"/>
      <w:bookmarkEnd w:id="61"/>
      <w:bookmarkEnd w:id="62"/>
      <w:bookmarkEnd w:id="63"/>
      <w:bookmarkEnd w:id="64"/>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sz w:val="32"/>
        </w:rPr>
      </w:pPr>
      <w:bookmarkStart w:id="65" w:name="_Toc523325337"/>
      <w:bookmarkStart w:id="66" w:name="_Toc523325157"/>
      <w:r>
        <w:rPr>
          <w:rFonts w:hint="eastAsia" w:ascii="仿宋_GB2312" w:hAnsi="仿宋_GB2312" w:eastAsia="仿宋_GB2312" w:cs="仿宋_GB2312"/>
          <w:sz w:val="32"/>
        </w:rPr>
        <w:t>7.1至投标截止日期前5个日历日（如至原定截止时间不足5个日历日，则需延长开标时间），招标人可根据需要或依投标人要求澄清的问题而修改招标文件，在发布招标公告的网站上发布更正公告，并以书面形式通知所有投标人，投标人在收到该通知后应立即以电报或传真的形式予以确认。该修改内容为招标文件的组成部分，对投标人具有约束力。但本招标文件第7.2条规定的推迟投标截止时间和开标时间情形不受本条约束。</w:t>
      </w:r>
      <w:bookmarkEnd w:id="65"/>
      <w:bookmarkEnd w:id="66"/>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sz w:val="32"/>
          <w:szCs w:val="32"/>
        </w:rPr>
      </w:pPr>
      <w:bookmarkStart w:id="67" w:name="_Toc523325338"/>
      <w:bookmarkStart w:id="68" w:name="_Toc523325158"/>
      <w:r>
        <w:rPr>
          <w:rFonts w:hint="eastAsia" w:ascii="仿宋_GB2312" w:hAnsi="仿宋_GB2312" w:eastAsia="仿宋_GB2312" w:cs="仿宋_GB2312"/>
          <w:sz w:val="32"/>
        </w:rPr>
        <w:t>7.2 为使投标人在准备投标文件时有合理的时间考虑招标文件的修改，招标人可酌情推迟投标截止时间和开标时间，但应当至少在投标截止时间3个日历日前将变更时间以书面形式通知所有投标人，并在发布招标公告的网站上发布更正公告。该修改内容为招标文件的组成部分。在此情况下，招标人和投标人受投标截止期制约的所有权利和义务均应延长至新的截止日期。</w:t>
      </w:r>
      <w:bookmarkEnd w:id="67"/>
      <w:bookmarkEnd w:id="68"/>
      <w:bookmarkStart w:id="69" w:name="_Toc191892308"/>
      <w:bookmarkStart w:id="70" w:name="_Toc192925656"/>
    </w:p>
    <w:p>
      <w:pPr>
        <w:pStyle w:val="3"/>
        <w:keepNext w:val="0"/>
        <w:keepLines w:val="0"/>
        <w:pageBreakBefore w:val="0"/>
        <w:kinsoku/>
        <w:wordWrap/>
        <w:overflowPunct/>
        <w:topLinePunct w:val="0"/>
        <w:autoSpaceDE/>
        <w:autoSpaceDN/>
        <w:bidi w:val="0"/>
        <w:spacing w:before="0" w:after="0" w:line="560" w:lineRule="exact"/>
        <w:textAlignment w:val="auto"/>
        <w:rPr>
          <w:rFonts w:hint="eastAsia" w:ascii="仿宋_GB2312" w:hAnsi="仿宋_GB2312" w:eastAsia="仿宋_GB2312" w:cs="仿宋_GB2312"/>
          <w:b/>
          <w:bCs/>
          <w:sz w:val="32"/>
        </w:rPr>
      </w:pPr>
      <w:bookmarkStart w:id="71" w:name="_Toc26017132"/>
      <w:r>
        <w:rPr>
          <w:rFonts w:hint="eastAsia" w:ascii="仿宋_GB2312" w:hAnsi="仿宋_GB2312" w:eastAsia="仿宋_GB2312" w:cs="仿宋_GB2312"/>
          <w:b/>
          <w:bCs/>
          <w:sz w:val="32"/>
        </w:rPr>
        <w:t>第三节  投标文件的编写</w:t>
      </w:r>
      <w:bookmarkEnd w:id="69"/>
      <w:bookmarkEnd w:id="70"/>
      <w:bookmarkEnd w:id="71"/>
    </w:p>
    <w:p>
      <w:pPr>
        <w:pStyle w:val="4"/>
        <w:keepNext w:val="0"/>
        <w:keepLines w:val="0"/>
        <w:pageBreakBefore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val="0"/>
          <w:sz w:val="32"/>
        </w:rPr>
      </w:pPr>
      <w:bookmarkStart w:id="72" w:name="_Toc191892309"/>
      <w:bookmarkStart w:id="73" w:name="_Toc26017133"/>
      <w:bookmarkStart w:id="74" w:name="_Toc192925657"/>
      <w:r>
        <w:rPr>
          <w:rFonts w:hint="eastAsia" w:ascii="仿宋_GB2312" w:hAnsi="仿宋_GB2312" w:eastAsia="仿宋_GB2312" w:cs="仿宋_GB2312"/>
          <w:b w:val="0"/>
          <w:bCs w:val="0"/>
          <w:sz w:val="32"/>
        </w:rPr>
        <w:t>8. 要求</w:t>
      </w:r>
      <w:bookmarkEnd w:id="72"/>
      <w:bookmarkEnd w:id="73"/>
      <w:bookmarkEnd w:id="74"/>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投标人应仔细阅读招标文件的所有内容，按照招标文件的要求提交投标文件。投标文件应对招标文件的要求做出实质性响应，并保证所提供的全部资料的真实性，否则其投标将被拒绝。</w:t>
      </w:r>
    </w:p>
    <w:p>
      <w:pPr>
        <w:keepNext w:val="0"/>
        <w:keepLines w:val="0"/>
        <w:pageBreakBefore w:val="0"/>
        <w:tabs>
          <w:tab w:val="left" w:pos="900"/>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8.2除非有另外的规定，投标人可对招标项目一览表所列的全部合同包或部分合同包进行投标。招标人不接受有任何可选择性的报价，每一种服务只能有一个报价。</w:t>
      </w:r>
    </w:p>
    <w:p>
      <w:pPr>
        <w:pStyle w:val="4"/>
        <w:keepNext w:val="0"/>
        <w:keepLines w:val="0"/>
        <w:pageBreakBefore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val="0"/>
          <w:sz w:val="32"/>
        </w:rPr>
      </w:pPr>
      <w:bookmarkStart w:id="75" w:name="_Toc26017134"/>
      <w:bookmarkStart w:id="76" w:name="_Toc192925658"/>
      <w:bookmarkStart w:id="77" w:name="_Toc191892310"/>
      <w:r>
        <w:rPr>
          <w:rFonts w:hint="eastAsia" w:ascii="仿宋_GB2312" w:hAnsi="仿宋_GB2312" w:eastAsia="仿宋_GB2312" w:cs="仿宋_GB2312"/>
          <w:b w:val="0"/>
          <w:bCs w:val="0"/>
          <w:sz w:val="32"/>
        </w:rPr>
        <w:t>9. 投标文件语言</w:t>
      </w:r>
      <w:bookmarkEnd w:id="75"/>
      <w:bookmarkEnd w:id="76"/>
      <w:bookmarkEnd w:id="77"/>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9.1投标文件应用中文书写。投标文件中所附或所引用的原件不是中文时，应附中文译本。各种计量单位及符号应采用国际上统一使用的公制计量单位和符号。</w:t>
      </w:r>
    </w:p>
    <w:p>
      <w:pPr>
        <w:pStyle w:val="4"/>
        <w:keepNext w:val="0"/>
        <w:keepLines w:val="0"/>
        <w:pageBreakBefore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val="0"/>
          <w:sz w:val="32"/>
        </w:rPr>
      </w:pPr>
      <w:bookmarkStart w:id="78" w:name="_Toc26017135"/>
      <w:bookmarkStart w:id="79" w:name="_Toc192925659"/>
      <w:bookmarkStart w:id="80" w:name="_Toc191892311"/>
      <w:r>
        <w:rPr>
          <w:rFonts w:hint="eastAsia" w:ascii="仿宋_GB2312" w:hAnsi="仿宋_GB2312" w:eastAsia="仿宋_GB2312" w:cs="仿宋_GB2312"/>
          <w:b w:val="0"/>
          <w:bCs w:val="0"/>
          <w:sz w:val="32"/>
        </w:rPr>
        <w:t>10. 投标文件的组成</w:t>
      </w:r>
      <w:bookmarkEnd w:id="78"/>
      <w:bookmarkEnd w:id="79"/>
      <w:bookmarkEnd w:id="80"/>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投标文件应包括下列部分：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10.1.1投标书</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10.1.2开标一览表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10.1.3价格明细表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10.1.4供货组织方案</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10.1.5技术和商务偏离表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10.1.6投标人承诺函</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10.1.7法人代表授权书</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10.1.8法人营业执照</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10.1.9廉洁承诺书</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10.1.10投标人提交的其它资料</w:t>
      </w:r>
    </w:p>
    <w:p>
      <w:pPr>
        <w:pStyle w:val="4"/>
        <w:keepNext w:val="0"/>
        <w:keepLines w:val="0"/>
        <w:pageBreakBefore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val="0"/>
          <w:sz w:val="32"/>
        </w:rPr>
      </w:pPr>
      <w:bookmarkStart w:id="81" w:name="_Toc192925660"/>
      <w:bookmarkStart w:id="82" w:name="_Toc191892312"/>
      <w:bookmarkStart w:id="83" w:name="_Toc26017136"/>
      <w:r>
        <w:rPr>
          <w:rFonts w:hint="eastAsia" w:ascii="仿宋_GB2312" w:hAnsi="仿宋_GB2312" w:eastAsia="仿宋_GB2312" w:cs="仿宋_GB2312"/>
          <w:b w:val="0"/>
          <w:bCs w:val="0"/>
          <w:sz w:val="32"/>
        </w:rPr>
        <w:t>11. 投标有效期</w:t>
      </w:r>
      <w:bookmarkEnd w:id="81"/>
      <w:bookmarkEnd w:id="82"/>
      <w:bookmarkEnd w:id="83"/>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11.1投标文件从“</w:t>
      </w:r>
      <w:r>
        <w:rPr>
          <w:rFonts w:hint="eastAsia" w:ascii="仿宋_GB2312" w:hAnsi="仿宋_GB2312" w:eastAsia="仿宋_GB2312" w:cs="仿宋_GB2312"/>
          <w:bCs/>
          <w:sz w:val="32"/>
          <w:szCs w:val="32"/>
        </w:rPr>
        <w:t>投标人须知前附表”</w:t>
      </w:r>
      <w:r>
        <w:rPr>
          <w:rFonts w:hint="eastAsia" w:ascii="仿宋_GB2312" w:hAnsi="仿宋_GB2312" w:eastAsia="仿宋_GB2312" w:cs="仿宋_GB2312"/>
          <w:sz w:val="32"/>
          <w:szCs w:val="32"/>
        </w:rPr>
        <w:t>第4项所规定的投标截止期之后开始生效，在“</w:t>
      </w:r>
      <w:r>
        <w:rPr>
          <w:rFonts w:hint="eastAsia" w:ascii="仿宋_GB2312" w:hAnsi="仿宋_GB2312" w:eastAsia="仿宋_GB2312" w:cs="仿宋_GB2312"/>
          <w:bCs/>
          <w:sz w:val="32"/>
          <w:szCs w:val="32"/>
        </w:rPr>
        <w:t>投标人须知前附表”</w:t>
      </w:r>
      <w:r>
        <w:rPr>
          <w:rFonts w:hint="eastAsia" w:ascii="仿宋_GB2312" w:hAnsi="仿宋_GB2312" w:eastAsia="仿宋_GB2312" w:cs="仿宋_GB2312"/>
          <w:sz w:val="32"/>
          <w:szCs w:val="32"/>
        </w:rPr>
        <w:t>第3项所规定的期限内保持有效。有效期不足将导致其投标文件被拒绝。</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在特殊情况下，招标人如在投标有效期满之前，书面要求投标人同意延长有效期，投标人应在招标人规定的期限内，以书面形式予以答复。投标人可以拒绝上述要求，其投标保证金将按规定予以退还。如果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pStyle w:val="4"/>
        <w:keepNext w:val="0"/>
        <w:keepLines w:val="0"/>
        <w:pageBreakBefore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val="0"/>
          <w:sz w:val="32"/>
        </w:rPr>
      </w:pPr>
      <w:bookmarkStart w:id="84" w:name="_Toc192925661"/>
      <w:bookmarkStart w:id="85" w:name="_Toc26017137"/>
      <w:bookmarkStart w:id="86" w:name="_Toc191892313"/>
      <w:r>
        <w:rPr>
          <w:rFonts w:hint="eastAsia" w:ascii="仿宋_GB2312" w:hAnsi="仿宋_GB2312" w:eastAsia="仿宋_GB2312" w:cs="仿宋_GB2312"/>
          <w:b w:val="0"/>
          <w:bCs w:val="0"/>
          <w:sz w:val="32"/>
        </w:rPr>
        <w:t>12. 投标保证金</w:t>
      </w:r>
      <w:bookmarkEnd w:id="84"/>
      <w:bookmarkEnd w:id="85"/>
      <w:bookmarkEnd w:id="86"/>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 投标保证金</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12.1.1投标保证金为投标文件的组成部分之一。</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12.1.2 投标人应在提交投标文件之前，向招标人缴交“投标人须知前附表”第5项要求的投标保证金。</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12.1.3 投标保证金用于保护本次招标活动免受投标人的行为而引起的风险。</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12.1.4 投标保证金以转账或电汇形式提交，必须于投标截止时间前到账。</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12.1.5 未按规定缴交投标保证金的投标，将被视为无效投标。</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12.1.6中标通知书发出后，招标人将在30个工作日内予以原额</w:t>
      </w:r>
      <w:r>
        <w:rPr>
          <w:rFonts w:hint="eastAsia" w:ascii="仿宋_GB2312" w:hAnsi="仿宋_GB2312" w:eastAsia="仿宋_GB2312" w:cs="仿宋_GB2312"/>
          <w:b w:val="0"/>
          <w:bCs w:val="0"/>
          <w:sz w:val="32"/>
          <w:szCs w:val="32"/>
        </w:rPr>
        <w:t>无息退还未中标人的投标保证金。</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12.1.7 发生以下情况之一的，投标保证金将不予退还：</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⑴ 投标人在投标截止期后，投标有效期内撤回投标；</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⑵ 中标人未能做到按本须知第22条规定签订合同；</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⑶中标人未按本招标文件规定提交银行履约保函或履约保证金的；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⑷ 以他人名义投标或者以其他方式弄虚作假，骗取中标；</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⑸ 本招标文件中规定的其他没收投标保证金的情形。</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上述不予退还投标保证金的情况，如给招标人造成损失的，投标人还应承担赔偿责任。</w:t>
      </w:r>
    </w:p>
    <w:p>
      <w:pPr>
        <w:pStyle w:val="4"/>
        <w:keepNext w:val="0"/>
        <w:keepLines w:val="0"/>
        <w:pageBreakBefore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val="0"/>
          <w:sz w:val="32"/>
        </w:rPr>
      </w:pPr>
      <w:bookmarkStart w:id="87" w:name="_Toc191892314"/>
      <w:bookmarkStart w:id="88" w:name="_Toc26017138"/>
      <w:bookmarkStart w:id="89" w:name="_Toc192925662"/>
      <w:r>
        <w:rPr>
          <w:rFonts w:hint="eastAsia" w:ascii="仿宋_GB2312" w:hAnsi="仿宋_GB2312" w:eastAsia="仿宋_GB2312" w:cs="仿宋_GB2312"/>
          <w:b w:val="0"/>
          <w:bCs w:val="0"/>
          <w:sz w:val="32"/>
        </w:rPr>
        <w:t>13. 投标文件的格式</w:t>
      </w:r>
      <w:bookmarkEnd w:id="87"/>
      <w:bookmarkEnd w:id="88"/>
      <w:bookmarkEnd w:id="89"/>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13.1投标人须按照本招标文件规定，编制投标文件的正本一份，副本一份。正本必须用A4幅面纸张打印装订，副本可用正本的完整复印件，并在封面标明“正本”、“副本”字样。正本与副本如有不一致，则以正本为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13.2投标文件应由投标人的法定代表人或者其授权代表签字并加盖公章，如由后者签字，应提供“法定代表人授权委托书”。</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13.3 除非有另外的规定或许可外，投标使用货币均为人民币。</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13.4投标人应提交证明其拟供货物符合招标文件要求的技术响应文件，该文件可以是文字资料、图</w:t>
      </w:r>
      <w:r>
        <w:rPr>
          <w:rFonts w:hint="eastAsia" w:ascii="仿宋_GB2312" w:hAnsi="仿宋_GB2312" w:eastAsia="仿宋_GB2312" w:cs="仿宋_GB2312"/>
          <w:sz w:val="32"/>
          <w:szCs w:val="32"/>
        </w:rPr>
        <w:t>纸和数据，并须提供货物主要技术性能的详细描述。</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13.5 投标文件的正本和全部副本均应使用不能擦去的墨料或墨水打印、书写或复印，并由法定代表人或其授权代表签署，盖投标人公章。</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13.6全套投标文件应无涂改和行间插字，除非这些改动是根据招标人的指示进行的，或者是为改正投标人造成的必须修改的错误而进行的。有改动时，修改处应由法定代表人或授权代表签字证明或加盖校正章。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13.7未按本招标文件规定的格式填写投标文件或投标文件字迹模糊不清的投标可能导致不利于投标人的评标结果。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13.8 所有资格证明文件复印件，须加盖投标人公章。</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sz w:val="32"/>
          <w:szCs w:val="32"/>
        </w:rPr>
      </w:pPr>
      <w:r>
        <w:rPr>
          <w:rFonts w:hint="eastAsia" w:ascii="仿宋_GB2312" w:hAnsi="仿宋_GB2312" w:eastAsia="仿宋_GB2312" w:cs="仿宋_GB2312"/>
          <w:sz w:val="32"/>
          <w:szCs w:val="32"/>
        </w:rPr>
        <w:t>13.9 投标人应将投标文件按顺序装订成册、打印页码，并编列目录、资料清单，由于装订不规范或编排顺序混乱而导致投标文件被误读或漏读，投标人自行承担后果。</w:t>
      </w:r>
    </w:p>
    <w:p>
      <w:pPr>
        <w:pStyle w:val="3"/>
        <w:keepNext w:val="0"/>
        <w:keepLines w:val="0"/>
        <w:pageBreakBefore w:val="0"/>
        <w:kinsoku/>
        <w:wordWrap/>
        <w:overflowPunct/>
        <w:topLinePunct w:val="0"/>
        <w:autoSpaceDE/>
        <w:autoSpaceDN/>
        <w:bidi w:val="0"/>
        <w:spacing w:before="0" w:after="0" w:line="560" w:lineRule="exact"/>
        <w:textAlignment w:val="auto"/>
        <w:rPr>
          <w:rFonts w:hint="eastAsia" w:ascii="仿宋_GB2312" w:hAnsi="仿宋_GB2312" w:eastAsia="仿宋_GB2312" w:cs="仿宋_GB2312"/>
          <w:sz w:val="32"/>
        </w:rPr>
      </w:pPr>
      <w:bookmarkStart w:id="90" w:name="_Toc26017139"/>
      <w:bookmarkStart w:id="91" w:name="_Toc192925663"/>
      <w:bookmarkStart w:id="92" w:name="_Toc191892315"/>
      <w:r>
        <w:rPr>
          <w:rFonts w:hint="eastAsia" w:ascii="仿宋_GB2312" w:hAnsi="仿宋_GB2312" w:eastAsia="仿宋_GB2312" w:cs="仿宋_GB2312"/>
          <w:sz w:val="32"/>
        </w:rPr>
        <w:t>第四节  投标文件的提交</w:t>
      </w:r>
      <w:bookmarkEnd w:id="90"/>
      <w:bookmarkEnd w:id="91"/>
      <w:bookmarkEnd w:id="92"/>
    </w:p>
    <w:p>
      <w:pPr>
        <w:pStyle w:val="4"/>
        <w:keepNext w:val="0"/>
        <w:keepLines w:val="0"/>
        <w:pageBreakBefore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val="0"/>
          <w:sz w:val="32"/>
        </w:rPr>
      </w:pPr>
      <w:bookmarkStart w:id="93" w:name="_Toc26017140"/>
      <w:bookmarkStart w:id="94" w:name="_Toc191892316"/>
      <w:bookmarkStart w:id="95" w:name="_Toc192925664"/>
      <w:r>
        <w:rPr>
          <w:rFonts w:hint="eastAsia" w:ascii="仿宋_GB2312" w:hAnsi="仿宋_GB2312" w:eastAsia="仿宋_GB2312" w:cs="仿宋_GB2312"/>
          <w:b w:val="0"/>
          <w:bCs w:val="0"/>
          <w:sz w:val="32"/>
        </w:rPr>
        <w:t>14. 投标文件的密封、标记和递交</w:t>
      </w:r>
      <w:bookmarkEnd w:id="93"/>
      <w:bookmarkEnd w:id="94"/>
      <w:bookmarkEnd w:id="95"/>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 投标人应将投标文件正本和全部副本分别用信封密封，并标明招标编号、招标项目名称、投标人名称等及“正本”或“副本”字样。投标文件未密封将导致其投标被拒绝。</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14.2 每一信封密封处应加盖投标人公章或由授权代表签字。</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14.3投标人应将投标文件按照本须知第14.1条至第14.2条的规定进行密封和标记，按“投标人须知前附表”注明的地址和时间派专人送达接收人。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14.4如果未按上述规定进行密封和标记，招标人将不承担由此造成的对投标文件的误投或提前拆封的责任。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14.5投标文件应在投标邀请中规定的截止时间前送达，迟到的投标文件为无效投标文件, 将被拒收。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14.6投标人在投标截止时间之前，允许对所提交的投标文件进行修改或者撤回，并书面通知招标人。修改的内容和撤回通知应当按本须知要求签署、盖章、密封，并作为投标文件的组成部分。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14.7投标人在投标截止时间后不得修改、撤回投标文件。投标人在投标截止时间后修改投标文件的，其投标将被拒绝。</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sz w:val="32"/>
          <w:szCs w:val="32"/>
        </w:rPr>
      </w:pPr>
      <w:r>
        <w:rPr>
          <w:rFonts w:hint="eastAsia" w:ascii="仿宋_GB2312" w:hAnsi="仿宋_GB2312" w:eastAsia="仿宋_GB2312" w:cs="仿宋_GB2312"/>
          <w:sz w:val="32"/>
          <w:szCs w:val="32"/>
        </w:rPr>
        <w:t>14.8投标截止时间结束后，参加投标的投标人不足三家的，本次招标程序终止。除采购任务取消情形外，招标人将依法重新组织招标或者采取竞争性谈判等其他方式采购。</w:t>
      </w:r>
      <w:bookmarkStart w:id="96" w:name="_Toc191892317"/>
      <w:bookmarkStart w:id="97" w:name="_Toc192925665"/>
    </w:p>
    <w:p>
      <w:pPr>
        <w:pStyle w:val="3"/>
        <w:keepNext w:val="0"/>
        <w:keepLines w:val="0"/>
        <w:pageBreakBefore w:val="0"/>
        <w:kinsoku/>
        <w:wordWrap/>
        <w:overflowPunct/>
        <w:topLinePunct w:val="0"/>
        <w:autoSpaceDE/>
        <w:autoSpaceDN/>
        <w:bidi w:val="0"/>
        <w:spacing w:before="0" w:after="0" w:line="560" w:lineRule="exact"/>
        <w:textAlignment w:val="auto"/>
        <w:rPr>
          <w:rFonts w:hint="eastAsia" w:ascii="仿宋_GB2312" w:hAnsi="仿宋_GB2312" w:eastAsia="仿宋_GB2312" w:cs="仿宋_GB2312"/>
          <w:sz w:val="32"/>
          <w:szCs w:val="32"/>
        </w:rPr>
      </w:pPr>
      <w:bookmarkStart w:id="98" w:name="_Toc26017141"/>
      <w:r>
        <w:rPr>
          <w:rFonts w:hint="eastAsia" w:ascii="仿宋_GB2312" w:hAnsi="仿宋_GB2312" w:eastAsia="仿宋_GB2312" w:cs="仿宋_GB2312"/>
          <w:sz w:val="32"/>
          <w:szCs w:val="32"/>
        </w:rPr>
        <w:t>第五节投标文件的评估和比较</w:t>
      </w:r>
      <w:bookmarkEnd w:id="96"/>
      <w:bookmarkEnd w:id="97"/>
      <w:bookmarkEnd w:id="98"/>
    </w:p>
    <w:p>
      <w:pPr>
        <w:pStyle w:val="4"/>
        <w:keepNext w:val="0"/>
        <w:keepLines w:val="0"/>
        <w:pageBreakBefore w:val="0"/>
        <w:kinsoku/>
        <w:wordWrap/>
        <w:overflowPunct/>
        <w:topLinePunct w:val="0"/>
        <w:autoSpaceDE/>
        <w:autoSpaceDN/>
        <w:bidi w:val="0"/>
        <w:spacing w:before="0" w:after="0" w:line="560" w:lineRule="exact"/>
        <w:ind w:firstLine="643" w:firstLineChars="200"/>
        <w:textAlignment w:val="auto"/>
        <w:rPr>
          <w:rFonts w:hint="eastAsia" w:ascii="仿宋_GB2312" w:hAnsi="仿宋_GB2312" w:eastAsia="仿宋_GB2312" w:cs="仿宋_GB2312"/>
          <w:sz w:val="32"/>
          <w:szCs w:val="32"/>
        </w:rPr>
      </w:pPr>
      <w:bookmarkStart w:id="99" w:name="_Toc191892318"/>
      <w:bookmarkStart w:id="100" w:name="_Toc192925666"/>
      <w:bookmarkStart w:id="101" w:name="_Toc26017142"/>
      <w:r>
        <w:rPr>
          <w:rFonts w:hint="eastAsia" w:ascii="仿宋_GB2312" w:hAnsi="仿宋_GB2312" w:eastAsia="仿宋_GB2312" w:cs="仿宋_GB2312"/>
          <w:sz w:val="32"/>
          <w:szCs w:val="32"/>
        </w:rPr>
        <w:t>15．开标、评标时间</w:t>
      </w:r>
      <w:bookmarkEnd w:id="99"/>
      <w:bookmarkEnd w:id="100"/>
      <w:bookmarkEnd w:id="101"/>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 在“投标人须知前附表”（有延期通知的以延期通知为准）中所规定的时间、地点开标。</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15.2招标人负责组建评标委员会，评标委员会负责评标工作。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15.3本项目采用综合评分法评选方法评定，招标人监察人员进行监督。</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sz w:val="32"/>
          <w:szCs w:val="32"/>
        </w:rPr>
      </w:pPr>
      <w:bookmarkStart w:id="102" w:name="_Toc192925667"/>
      <w:bookmarkStart w:id="103" w:name="_Toc191892319"/>
      <w:r>
        <w:rPr>
          <w:rFonts w:hint="eastAsia" w:ascii="仿宋_GB2312" w:hAnsi="仿宋_GB2312" w:eastAsia="仿宋_GB2312" w:cs="仿宋_GB2312"/>
          <w:b/>
          <w:sz w:val="32"/>
          <w:szCs w:val="32"/>
        </w:rPr>
        <w:t>16．评标委员会</w:t>
      </w:r>
      <w:bookmarkEnd w:id="102"/>
      <w:bookmarkEnd w:id="103"/>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16.1招标人根据招标货物和服务的特点依法组建评标委员会。评标委员会由技术、经济、法律方面的专业人员组成。在开标后的适当时间里，由评标委员会对投标文件进行审查、质疑、评估和比较，并做出授予合同的建议。</w:t>
      </w:r>
    </w:p>
    <w:p>
      <w:pPr>
        <w:pStyle w:val="4"/>
        <w:keepNext w:val="0"/>
        <w:keepLines w:val="0"/>
        <w:pageBreakBefore w:val="0"/>
        <w:kinsoku/>
        <w:wordWrap/>
        <w:overflowPunct/>
        <w:topLinePunct w:val="0"/>
        <w:autoSpaceDE/>
        <w:autoSpaceDN/>
        <w:bidi w:val="0"/>
        <w:spacing w:before="0" w:after="0" w:line="560" w:lineRule="exact"/>
        <w:ind w:firstLine="643" w:firstLineChars="200"/>
        <w:textAlignment w:val="auto"/>
        <w:rPr>
          <w:rFonts w:hint="eastAsia" w:ascii="仿宋_GB2312" w:hAnsi="仿宋_GB2312" w:eastAsia="仿宋_GB2312" w:cs="仿宋_GB2312"/>
          <w:sz w:val="32"/>
          <w:szCs w:val="32"/>
        </w:rPr>
      </w:pPr>
      <w:bookmarkStart w:id="104" w:name="_Toc192925668"/>
      <w:bookmarkStart w:id="105" w:name="_Toc191892320"/>
      <w:bookmarkStart w:id="106" w:name="_Toc26017143"/>
      <w:r>
        <w:rPr>
          <w:rFonts w:hint="eastAsia" w:ascii="仿宋_GB2312" w:hAnsi="仿宋_GB2312" w:eastAsia="仿宋_GB2312" w:cs="仿宋_GB2312"/>
          <w:sz w:val="32"/>
          <w:szCs w:val="32"/>
        </w:rPr>
        <w:t>17. 投标文件的初审</w:t>
      </w:r>
      <w:bookmarkEnd w:id="104"/>
      <w:bookmarkEnd w:id="105"/>
      <w:bookmarkEnd w:id="106"/>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对所有投标人的评估，都采用相同的程序和标准。评议过程将严格按照招标文件的要求和条件进行。</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有关投标文件的审查、澄清、评估和比较以及推荐中标候选人的一切情况，都不得透露给任一投标人或与上述评标工作无关的人员。</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投标人任何试图影响评委会对投标文件的评估、比较或者推荐候选人的行为，都将导致其投标被拒绝，并被没收投标保证金。</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17.1评标委员会将对投标文件进行审查，以确定投标文件是否完整、有无计算上的错误、是否提交了投标保证金、文件是否已正确签署。</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17.2 算术错误将按以下方法更正：</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如投标文件中“开标一览表(报价表)”内容与投标文件中的明细表内容不一致的，以“开标一览表(报价表)”为准。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如投标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如果投标人不接受按上述方法对投标文件中的算术错误进行更正，其投标将被拒绝并没收其投标保证金。</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17.3 资格性检查和符合性检查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17.3.1资格性检查。依据法律法规和招标文件的规定，在对投标文件详细评估之前，评标委员会将依据投标人提交的投标文件，按“投标人须知前附表”所述的资格标准对投标人进行资格审查, 以确定其是否具备投标资格。如果投标人不具备投标资格，不满足招标文件所规定的资格标准，或者其提供的资格证明文件不全的,其投标将被拒绝。</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17.3.2符合性检查。依据招标文件的规定，评标委员会还将从投标文件的有效性、完整性和对招标文件的响应程度进行审查，以确定是否符合对招标文件的实质性要求做出响应。</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实质性偏离是指：（1）实质性影响合同的范围、质量和履行；（2）实质性违背招标文件，限制了招标人的权利和中标人合同项下的义务；（3）不公正地影响了其它作出实质性响应的投标人的竞争地位。</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对没有实质性响应的投标文件将不进行评估，其投标将被拒绝。</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凡有下列情况之一者，投标文件也将被视为未实质性响应招标文件要求：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投标文件未按照本须知第14条的规定进行密封、标记的；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 未按规定由投标人的法定代表人或其授权代表签字，或未加盖投标人公章的；或签字人未提供法定代表人有效授权委托书原件的；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 未按规定提交投标保证金的；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 投标有效期不满足招标文件要求的；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 投标内容与招标内容及要求有重大偏离或保留的；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 投标人提交的是可选择的报价；</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 投标人未按规定对投标进行分项报价；</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 一个投标人对同一个合同包不止投一个标的；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 投标文件组成不符合招标文件要求的；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 投标文件中提供虚假或失实资料的；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(11) 不符合招标文件中规定的★号条款或其它实质性条款要求的。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投标人存在下列情形之一的，将被认定为串通投标行为并作无效投标处理：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（1）投标人之间协商投标报价等投标文件的实质性内容；</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（2）投标人之间约定中标供应商；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（3）投标人之间约定部分投标人放弃投标或者中标；</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（4）属于同一集团、协会、商会等组织成员的投标人按照该组织要求协同投标；</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（5）投标人之间为谋取中标或者排斥特定投标人而采取的其他联合行动；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（6）不同投标人的投标文件由同一单位或者个人编制；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（7）不同投标人委托同一单位或者个人办理投标事宜；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（8）不同投标人的投标文件载明的项目管理成员为同一人；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（9）不同投标人的投标文件异常一致或者投标报价呈规律性差异；</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（10）不同投标人的投标文件相互混装；</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（11）不同投标人的投标保证金从同一单位或者个人的账户转出。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（12）不同投标人的投标文件错、漏之处一致或雷同，且不能合理解释的；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（13）不同的投标人的法定代表人、委托代理人等由同一个单位缴纳社会保险的；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（14）由同一人或分别由几个有利害关系的人携带两个以上（含两个）投标人的企业资料参与资格审查、领取招标资料，或代表两个以上（含两个）投标人参加招标答疑会、交纳或退还投标保证金、开标的；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（15）有关法律、法规或规章规定的其他串通投标行为。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评标委员会决定投标的响应性，只根据投标文件本身的内容，而不寻求其他的外部证据。</w:t>
      </w:r>
    </w:p>
    <w:p>
      <w:pPr>
        <w:pStyle w:val="3"/>
        <w:keepNext w:val="0"/>
        <w:keepLines w:val="0"/>
        <w:pageBreakBefore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val="0"/>
          <w:sz w:val="32"/>
          <w:szCs w:val="32"/>
        </w:rPr>
      </w:pPr>
      <w:bookmarkStart w:id="107" w:name="_Toc26017144"/>
      <w:r>
        <w:rPr>
          <w:rFonts w:hint="eastAsia" w:ascii="仿宋_GB2312" w:hAnsi="仿宋_GB2312" w:eastAsia="仿宋_GB2312" w:cs="仿宋_GB2312"/>
          <w:b w:val="0"/>
          <w:bCs w:val="0"/>
          <w:sz w:val="32"/>
          <w:szCs w:val="32"/>
        </w:rPr>
        <w:t>18.评标办法</w:t>
      </w:r>
      <w:bookmarkEnd w:id="107"/>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本次招标采用综合评分法评标。</w:t>
      </w:r>
    </w:p>
    <w:p>
      <w:pPr>
        <w:pStyle w:val="6"/>
        <w:keepNext w:val="0"/>
        <w:keepLines w:val="0"/>
        <w:pageBreakBefore w:val="0"/>
        <w:kinsoku/>
        <w:wordWrap/>
        <w:overflowPunct/>
        <w:topLinePunct w:val="0"/>
        <w:autoSpaceDE/>
        <w:autoSpaceDN/>
        <w:bidi w:val="0"/>
        <w:snapToGrid w:val="0"/>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18.1具体的评标标准（评标办法）</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18.1.1初审合格（即资格性、符合性检查合格并按其他相关条款审查后）的投标人在三家以上（含三家）的，评标委员会将按以下评标方法与标准，对初审合格的投标文件进行商务和技术评估，综合比较与评价。</w:t>
      </w:r>
    </w:p>
    <w:p>
      <w:pPr>
        <w:spacing w:line="500" w:lineRule="exact"/>
        <w:ind w:firstLine="472" w:firstLineChars="147"/>
        <w:rPr>
          <w:rStyle w:val="22"/>
          <w:rFonts w:hint="eastAsia" w:ascii="仿宋_GB2312" w:hAnsi="仿宋_GB2312" w:eastAsia="仿宋_GB2312" w:cs="仿宋_GB2312"/>
          <w:sz w:val="32"/>
          <w:szCs w:val="32"/>
        </w:rPr>
      </w:pPr>
      <w:r>
        <w:rPr>
          <w:rStyle w:val="22"/>
          <w:rFonts w:hint="eastAsia" w:ascii="仿宋_GB2312" w:hAnsi="仿宋_GB2312" w:eastAsia="仿宋_GB2312" w:cs="仿宋_GB2312"/>
          <w:sz w:val="32"/>
          <w:szCs w:val="32"/>
        </w:rPr>
        <w:t>（1）技术分F1（</w:t>
      </w:r>
      <w:r>
        <w:rPr>
          <w:rFonts w:hint="eastAsia" w:ascii="仿宋_GB2312" w:hAnsi="仿宋_GB2312" w:eastAsia="仿宋_GB2312" w:cs="仿宋_GB2312"/>
          <w:b/>
          <w:sz w:val="32"/>
          <w:szCs w:val="32"/>
        </w:rPr>
        <w:t>满分</w:t>
      </w:r>
      <w:r>
        <w:rPr>
          <w:rFonts w:hint="eastAsia" w:ascii="仿宋_GB2312" w:hAnsi="仿宋_GB2312" w:eastAsia="仿宋_GB2312" w:cs="仿宋_GB2312"/>
          <w:sz w:val="32"/>
          <w:szCs w:val="32"/>
        </w:rPr>
        <w:t>40</w:t>
      </w:r>
      <w:r>
        <w:rPr>
          <w:rFonts w:hint="eastAsia" w:ascii="仿宋_GB2312" w:hAnsi="仿宋_GB2312" w:eastAsia="仿宋_GB2312" w:cs="仿宋_GB2312"/>
          <w:b/>
          <w:sz w:val="32"/>
          <w:szCs w:val="32"/>
        </w:rPr>
        <w:t>分）</w:t>
      </w:r>
    </w:p>
    <w:tbl>
      <w:tblPr>
        <w:tblStyle w:val="19"/>
        <w:tblW w:w="928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1"/>
        <w:gridCol w:w="1842"/>
        <w:gridCol w:w="5245"/>
        <w:gridCol w:w="10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tblHeader/>
          <w:jc w:val="center"/>
        </w:trPr>
        <w:tc>
          <w:tcPr>
            <w:tcW w:w="1101" w:type="dxa"/>
            <w:vAlign w:val="center"/>
          </w:tcPr>
          <w:p>
            <w:pPr>
              <w:pStyle w:val="28"/>
              <w:autoSpaceDE/>
              <w:autoSpaceDN/>
              <w:adjustRightInd/>
              <w:spacing w:line="500" w:lineRule="exact"/>
              <w:rPr>
                <w:rFonts w:hint="eastAsia" w:ascii="仿宋_GB2312" w:hAnsi="仿宋_GB2312" w:eastAsia="仿宋_GB2312" w:cs="仿宋_GB2312"/>
                <w:bCs/>
                <w:kern w:val="10"/>
                <w:sz w:val="32"/>
                <w:szCs w:val="32"/>
              </w:rPr>
            </w:pPr>
            <w:r>
              <w:rPr>
                <w:rFonts w:hint="eastAsia" w:ascii="仿宋_GB2312" w:hAnsi="仿宋_GB2312" w:eastAsia="仿宋_GB2312" w:cs="仿宋_GB2312"/>
                <w:bCs/>
                <w:kern w:val="10"/>
                <w:sz w:val="32"/>
                <w:szCs w:val="32"/>
              </w:rPr>
              <w:t>序号</w:t>
            </w:r>
          </w:p>
        </w:tc>
        <w:tc>
          <w:tcPr>
            <w:tcW w:w="1842" w:type="dxa"/>
            <w:vAlign w:val="center"/>
          </w:tcPr>
          <w:p>
            <w:pPr>
              <w:pStyle w:val="28"/>
              <w:autoSpaceDE/>
              <w:autoSpaceDN/>
              <w:adjustRightInd/>
              <w:spacing w:line="500" w:lineRule="exact"/>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评分项目</w:t>
            </w:r>
          </w:p>
        </w:tc>
        <w:tc>
          <w:tcPr>
            <w:tcW w:w="5245" w:type="dxa"/>
            <w:vAlign w:val="center"/>
          </w:tcPr>
          <w:p>
            <w:pPr>
              <w:pStyle w:val="28"/>
              <w:autoSpaceDE/>
              <w:autoSpaceDN/>
              <w:adjustRightInd/>
              <w:spacing w:line="500" w:lineRule="exact"/>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评分界定</w:t>
            </w:r>
          </w:p>
        </w:tc>
        <w:tc>
          <w:tcPr>
            <w:tcW w:w="1099" w:type="dxa"/>
            <w:vAlign w:val="center"/>
          </w:tcPr>
          <w:p>
            <w:pPr>
              <w:pStyle w:val="28"/>
              <w:autoSpaceDE/>
              <w:autoSpaceDN/>
              <w:adjustRightInd/>
              <w:spacing w:line="500" w:lineRule="exact"/>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7" w:hRule="atLeast"/>
          <w:jc w:val="center"/>
        </w:trPr>
        <w:tc>
          <w:tcPr>
            <w:tcW w:w="1101" w:type="dxa"/>
            <w:vAlign w:val="center"/>
          </w:tcPr>
          <w:p>
            <w:pPr>
              <w:adjustRightInd w:val="0"/>
              <w:snapToGrid w:val="0"/>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842" w:type="dxa"/>
            <w:vAlign w:val="center"/>
          </w:tcPr>
          <w:p>
            <w:pPr>
              <w:spacing w:line="500" w:lineRule="exact"/>
              <w:ind w:right="31" w:rightChars="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设备参数的符合性、一致性</w:t>
            </w:r>
          </w:p>
        </w:tc>
        <w:tc>
          <w:tcPr>
            <w:tcW w:w="5245" w:type="dxa"/>
            <w:vAlign w:val="center"/>
          </w:tcPr>
          <w:p>
            <w:pPr>
              <w:spacing w:before="48" w:beforeLines="20" w:line="30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根据投标人所投设备的技术性能进行评分：</w:t>
            </w:r>
          </w:p>
          <w:p>
            <w:pPr>
              <w:spacing w:before="48" w:beforeLines="20" w:line="30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1、带“★”参数不满足为无效投标；</w:t>
            </w:r>
          </w:p>
          <w:p>
            <w:pPr>
              <w:spacing w:line="500" w:lineRule="exact"/>
              <w:ind w:right="31" w:rightChars="15"/>
              <w:jc w:val="left"/>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2、</w:t>
            </w:r>
            <w:r>
              <w:rPr>
                <w:rFonts w:hint="eastAsia" w:ascii="仿宋_GB2312" w:hAnsi="仿宋_GB2312" w:eastAsia="仿宋_GB2312" w:cs="仿宋_GB2312"/>
                <w:sz w:val="32"/>
                <w:szCs w:val="32"/>
              </w:rPr>
              <w:t>根据投标人所投设备的技术性能进行评分：</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sz w:val="32"/>
                <w:szCs w:val="32"/>
              </w:rPr>
              <w:t>号条款完全符合招标文件要求（指第二章 技术要求）的得40分，不满足的一项扣1分，扣完为止。</w:t>
            </w:r>
          </w:p>
          <w:p>
            <w:pPr>
              <w:spacing w:line="500" w:lineRule="exact"/>
              <w:ind w:right="31" w:rightChars="15"/>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所有</w:t>
            </w:r>
            <w:r>
              <w:rPr>
                <w:rFonts w:hint="eastAsia" w:ascii="仿宋_GB2312" w:hAnsi="仿宋_GB2312" w:eastAsia="仿宋_GB2312" w:cs="仿宋_GB2312"/>
                <w:sz w:val="32"/>
                <w:szCs w:val="32"/>
              </w:rPr>
              <w:t>带★或</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sz w:val="32"/>
                <w:szCs w:val="32"/>
              </w:rPr>
              <w:t>号的参数</w:t>
            </w:r>
            <w:r>
              <w:rPr>
                <w:rFonts w:hint="eastAsia" w:ascii="仿宋_GB2312" w:hAnsi="仿宋_GB2312" w:eastAsia="仿宋_GB2312" w:cs="仿宋_GB2312"/>
                <w:kern w:val="0"/>
                <w:sz w:val="32"/>
                <w:szCs w:val="32"/>
                <w:lang w:bidi="ar"/>
              </w:rPr>
              <w:t>要求提供CNAS认可的检测机构出具的该功能检测报告检测结果、设备界面★官方网站说明截图或产品彩页截图，任选其一打印加盖公章作为证明材料，未提供视为不满足</w:t>
            </w:r>
          </w:p>
        </w:tc>
        <w:tc>
          <w:tcPr>
            <w:tcW w:w="1099" w:type="dxa"/>
            <w:vAlign w:val="center"/>
          </w:tcPr>
          <w:p>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满分</w:t>
            </w:r>
          </w:p>
          <w:p>
            <w:pPr>
              <w:adjustRightInd w:val="0"/>
              <w:snapToGrid w:val="0"/>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40分</w:t>
            </w:r>
          </w:p>
        </w:tc>
      </w:tr>
    </w:tbl>
    <w:p>
      <w:pPr>
        <w:spacing w:before="120" w:beforeLines="50" w:after="120" w:afterLines="50" w:line="500" w:lineRule="exact"/>
        <w:ind w:right="-78"/>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（2）商务分F2（满分10分）</w:t>
      </w:r>
    </w:p>
    <w:tbl>
      <w:tblPr>
        <w:tblStyle w:val="19"/>
        <w:tblW w:w="928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1"/>
        <w:gridCol w:w="2030"/>
        <w:gridCol w:w="5057"/>
        <w:gridCol w:w="10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tblHeader/>
          <w:jc w:val="center"/>
        </w:trPr>
        <w:tc>
          <w:tcPr>
            <w:tcW w:w="1101" w:type="dxa"/>
            <w:vAlign w:val="center"/>
          </w:tcPr>
          <w:p>
            <w:pPr>
              <w:pStyle w:val="28"/>
              <w:autoSpaceDE/>
              <w:autoSpaceDN/>
              <w:adjustRightInd/>
              <w:spacing w:line="500" w:lineRule="exact"/>
              <w:rPr>
                <w:rFonts w:hint="eastAsia" w:ascii="仿宋_GB2312" w:hAnsi="仿宋_GB2312" w:eastAsia="仿宋_GB2312" w:cs="仿宋_GB2312"/>
                <w:bCs/>
                <w:kern w:val="10"/>
                <w:sz w:val="32"/>
                <w:szCs w:val="32"/>
              </w:rPr>
            </w:pPr>
            <w:r>
              <w:rPr>
                <w:rFonts w:hint="eastAsia" w:ascii="仿宋_GB2312" w:hAnsi="仿宋_GB2312" w:eastAsia="仿宋_GB2312" w:cs="仿宋_GB2312"/>
                <w:bCs/>
                <w:kern w:val="10"/>
                <w:sz w:val="32"/>
                <w:szCs w:val="32"/>
              </w:rPr>
              <w:t>序号</w:t>
            </w:r>
          </w:p>
        </w:tc>
        <w:tc>
          <w:tcPr>
            <w:tcW w:w="2030" w:type="dxa"/>
            <w:vAlign w:val="center"/>
          </w:tcPr>
          <w:p>
            <w:pPr>
              <w:pStyle w:val="28"/>
              <w:autoSpaceDE/>
              <w:autoSpaceDN/>
              <w:adjustRightInd/>
              <w:spacing w:line="500" w:lineRule="exact"/>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评分项目</w:t>
            </w:r>
          </w:p>
        </w:tc>
        <w:tc>
          <w:tcPr>
            <w:tcW w:w="5057" w:type="dxa"/>
            <w:vAlign w:val="center"/>
          </w:tcPr>
          <w:p>
            <w:pPr>
              <w:pStyle w:val="28"/>
              <w:autoSpaceDE/>
              <w:autoSpaceDN/>
              <w:adjustRightInd/>
              <w:spacing w:line="500" w:lineRule="exact"/>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评分界定</w:t>
            </w:r>
          </w:p>
        </w:tc>
        <w:tc>
          <w:tcPr>
            <w:tcW w:w="1099" w:type="dxa"/>
            <w:vAlign w:val="center"/>
          </w:tcPr>
          <w:p>
            <w:pPr>
              <w:pStyle w:val="28"/>
              <w:autoSpaceDE/>
              <w:autoSpaceDN/>
              <w:adjustRightInd/>
              <w:spacing w:line="500" w:lineRule="exact"/>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7" w:hRule="atLeast"/>
          <w:jc w:val="center"/>
        </w:trPr>
        <w:tc>
          <w:tcPr>
            <w:tcW w:w="1101" w:type="dxa"/>
            <w:vAlign w:val="center"/>
          </w:tcPr>
          <w:p>
            <w:pPr>
              <w:adjustRightInd w:val="0"/>
              <w:snapToGrid w:val="0"/>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030" w:type="dxa"/>
            <w:vAlign w:val="center"/>
          </w:tcPr>
          <w:p>
            <w:pPr>
              <w:spacing w:line="500" w:lineRule="exact"/>
              <w:ind w:right="31" w:rightChars="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企业年限</w:t>
            </w:r>
          </w:p>
        </w:tc>
        <w:tc>
          <w:tcPr>
            <w:tcW w:w="5057" w:type="dxa"/>
            <w:vAlign w:val="center"/>
          </w:tcPr>
          <w:p>
            <w:pPr>
              <w:spacing w:line="500" w:lineRule="exact"/>
              <w:ind w:right="31" w:rightChars="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公司成立年限，0-5年内公司得0分，5-10年的得1分，10-15年的得2分 </w:t>
            </w:r>
          </w:p>
        </w:tc>
        <w:tc>
          <w:tcPr>
            <w:tcW w:w="1099" w:type="dxa"/>
            <w:vAlign w:val="center"/>
          </w:tcPr>
          <w:p>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满分</w:t>
            </w:r>
          </w:p>
          <w:p>
            <w:pPr>
              <w:adjustRightInd w:val="0"/>
              <w:snapToGrid w:val="0"/>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7" w:hRule="atLeast"/>
          <w:jc w:val="center"/>
        </w:trPr>
        <w:tc>
          <w:tcPr>
            <w:tcW w:w="1101" w:type="dxa"/>
            <w:vAlign w:val="center"/>
          </w:tcPr>
          <w:p>
            <w:pPr>
              <w:adjustRightInd w:val="0"/>
              <w:snapToGrid w:val="0"/>
              <w:spacing w:line="5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2030" w:type="dxa"/>
            <w:vAlign w:val="center"/>
          </w:tcPr>
          <w:p>
            <w:pPr>
              <w:spacing w:line="500" w:lineRule="exact"/>
              <w:ind w:right="31" w:rightChars="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注册资金</w:t>
            </w:r>
          </w:p>
        </w:tc>
        <w:tc>
          <w:tcPr>
            <w:tcW w:w="5057" w:type="dxa"/>
            <w:vAlign w:val="center"/>
          </w:tcPr>
          <w:p>
            <w:pPr>
              <w:spacing w:line="500" w:lineRule="exact"/>
              <w:ind w:right="31" w:rightChars="1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公司注册资金,注册资金500万以下得0.5分，500万（含）以上得1分</w:t>
            </w:r>
          </w:p>
        </w:tc>
        <w:tc>
          <w:tcPr>
            <w:tcW w:w="1099" w:type="dxa"/>
            <w:vAlign w:val="center"/>
          </w:tcPr>
          <w:p>
            <w:pPr>
              <w:adjustRightInd w:val="0"/>
              <w:snapToGrid w:val="0"/>
              <w:spacing w:line="5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满分  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7" w:hRule="atLeast"/>
          <w:jc w:val="center"/>
        </w:trPr>
        <w:tc>
          <w:tcPr>
            <w:tcW w:w="1101" w:type="dxa"/>
            <w:vAlign w:val="center"/>
          </w:tcPr>
          <w:p>
            <w:pPr>
              <w:adjustRightInd w:val="0"/>
              <w:snapToGrid w:val="0"/>
              <w:spacing w:line="5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2030" w:type="dxa"/>
            <w:vAlign w:val="center"/>
          </w:tcPr>
          <w:p>
            <w:pPr>
              <w:spacing w:line="500" w:lineRule="exact"/>
              <w:ind w:right="31" w:rightChars="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售后服务响应</w:t>
            </w:r>
          </w:p>
        </w:tc>
        <w:tc>
          <w:tcPr>
            <w:tcW w:w="5057" w:type="dxa"/>
            <w:vAlign w:val="center"/>
          </w:tcPr>
          <w:p>
            <w:pPr>
              <w:spacing w:line="500" w:lineRule="exact"/>
              <w:ind w:right="31" w:rightChars="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投标人提供的售后服务体系完备情况、服务人员配备情况，优3分、良2分、一般1分。</w:t>
            </w:r>
          </w:p>
        </w:tc>
        <w:tc>
          <w:tcPr>
            <w:tcW w:w="1099" w:type="dxa"/>
            <w:vAlign w:val="center"/>
          </w:tcPr>
          <w:p>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满分</w:t>
            </w:r>
          </w:p>
          <w:p>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7" w:hRule="atLeast"/>
          <w:jc w:val="center"/>
        </w:trPr>
        <w:tc>
          <w:tcPr>
            <w:tcW w:w="1101" w:type="dxa"/>
            <w:vAlign w:val="center"/>
          </w:tcPr>
          <w:p>
            <w:pPr>
              <w:adjustRightInd w:val="0"/>
              <w:snapToGrid w:val="0"/>
              <w:spacing w:line="5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2030" w:type="dxa"/>
            <w:vAlign w:val="center"/>
          </w:tcPr>
          <w:p>
            <w:pPr>
              <w:spacing w:line="500" w:lineRule="exact"/>
              <w:ind w:right="31" w:rightChars="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技术支撑</w:t>
            </w:r>
          </w:p>
        </w:tc>
        <w:tc>
          <w:tcPr>
            <w:tcW w:w="5057"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投标人在项目所在地设立公司或分公司的，且成立5年以上；符合2分，不符合0分；否则不得分。</w:t>
            </w:r>
          </w:p>
        </w:tc>
        <w:tc>
          <w:tcPr>
            <w:tcW w:w="1099" w:type="dxa"/>
            <w:vAlign w:val="center"/>
          </w:tcPr>
          <w:p>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满分</w:t>
            </w:r>
          </w:p>
          <w:p>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7" w:hRule="atLeast"/>
          <w:jc w:val="center"/>
        </w:trPr>
        <w:tc>
          <w:tcPr>
            <w:tcW w:w="1101" w:type="dxa"/>
            <w:vAlign w:val="center"/>
          </w:tcPr>
          <w:p>
            <w:pPr>
              <w:adjustRightInd w:val="0"/>
              <w:snapToGrid w:val="0"/>
              <w:spacing w:line="5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2030" w:type="dxa"/>
            <w:vAlign w:val="center"/>
          </w:tcPr>
          <w:p>
            <w:pPr>
              <w:spacing w:line="500" w:lineRule="exact"/>
              <w:ind w:right="31" w:rightChars="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类似项目业绩</w:t>
            </w:r>
          </w:p>
        </w:tc>
        <w:tc>
          <w:tcPr>
            <w:tcW w:w="5057" w:type="dxa"/>
            <w:vAlign w:val="center"/>
          </w:tcPr>
          <w:p>
            <w:pPr>
              <w:spacing w:line="500" w:lineRule="exact"/>
              <w:ind w:right="31" w:rightChars="15"/>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投标人近2年内取得同类项目案例的，每提供一个案例得1分，满分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分。需提供合同及项目验收报告，以项目验收时间为准</w:t>
            </w:r>
            <w:r>
              <w:rPr>
                <w:rFonts w:hint="eastAsia" w:ascii="仿宋_GB2312" w:hAnsi="仿宋_GB2312" w:eastAsia="仿宋_GB2312" w:cs="仿宋_GB2312"/>
                <w:sz w:val="32"/>
                <w:szCs w:val="32"/>
                <w:lang w:eastAsia="zh-CN"/>
              </w:rPr>
              <w:t>。</w:t>
            </w:r>
          </w:p>
        </w:tc>
        <w:tc>
          <w:tcPr>
            <w:tcW w:w="1099" w:type="dxa"/>
            <w:vAlign w:val="center"/>
          </w:tcPr>
          <w:p>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满分</w:t>
            </w:r>
          </w:p>
          <w:p>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w:t>
            </w:r>
          </w:p>
        </w:tc>
      </w:tr>
    </w:tbl>
    <w:p>
      <w:pPr>
        <w:keepNext w:val="0"/>
        <w:keepLines w:val="0"/>
        <w:pageBreakBefore w:val="0"/>
        <w:widowControl w:val="0"/>
        <w:kinsoku/>
        <w:wordWrap/>
        <w:overflowPunct/>
        <w:topLinePunct w:val="0"/>
        <w:autoSpaceDE/>
        <w:autoSpaceDN/>
        <w:bidi w:val="0"/>
        <w:spacing w:before="120" w:beforeLines="50" w:line="560" w:lineRule="exact"/>
        <w:ind w:firstLine="314"/>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（3）价格分F3（满分50分）</w:t>
      </w:r>
    </w:p>
    <w:p>
      <w:pPr>
        <w:keepNext w:val="0"/>
        <w:keepLines w:val="0"/>
        <w:pageBreakBefore w:val="0"/>
        <w:widowControl w:val="0"/>
        <w:kinsoku/>
        <w:wordWrap/>
        <w:overflowPunct/>
        <w:topLinePunct w:val="0"/>
        <w:autoSpaceDE/>
        <w:autoSpaceDN/>
        <w:bidi w:val="0"/>
        <w:spacing w:line="560" w:lineRule="exact"/>
        <w:ind w:firstLine="633" w:firstLineChars="198"/>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评标基准价计算方法采用低价优先法，即满足招标文件要求且评标价最低的评标价作为评标基准价，其价格分为满分。其他投标人价格分按下列公式计算：</w:t>
      </w:r>
    </w:p>
    <w:p>
      <w:pPr>
        <w:keepNext w:val="0"/>
        <w:keepLines w:val="0"/>
        <w:pageBreakBefore w:val="0"/>
        <w:widowControl w:val="0"/>
        <w:kinsoku/>
        <w:wordWrap/>
        <w:overflowPunct/>
        <w:topLinePunct w:val="0"/>
        <w:autoSpaceDE/>
        <w:autoSpaceDN/>
        <w:bidi w:val="0"/>
        <w:spacing w:line="560" w:lineRule="exact"/>
        <w:ind w:firstLine="313" w:firstLineChars="98"/>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价格分= 评标基准价/投标人的评标价×50</w:t>
      </w:r>
    </w:p>
    <w:p>
      <w:pPr>
        <w:keepNext w:val="0"/>
        <w:keepLines w:val="0"/>
        <w:pageBreakBefore w:val="0"/>
        <w:widowControl w:val="0"/>
        <w:kinsoku/>
        <w:wordWrap/>
        <w:overflowPunct/>
        <w:topLinePunct w:val="0"/>
        <w:autoSpaceDE/>
        <w:autoSpaceDN/>
        <w:bidi w:val="0"/>
        <w:spacing w:line="560" w:lineRule="exact"/>
        <w:ind w:firstLine="313" w:firstLineChars="98"/>
        <w:textAlignment w:val="auto"/>
        <w:rPr>
          <w:rFonts w:hint="eastAsia" w:ascii="仿宋_GB2312" w:hAnsi="仿宋_GB2312" w:eastAsia="仿宋_GB2312" w:cs="仿宋_GB2312"/>
          <w:b w:val="0"/>
          <w:bCs/>
          <w:spacing w:val="-4"/>
          <w:sz w:val="32"/>
          <w:szCs w:val="32"/>
        </w:rPr>
      </w:pPr>
      <w:r>
        <w:rPr>
          <w:rFonts w:hint="eastAsia" w:ascii="仿宋_GB2312" w:hAnsi="仿宋_GB2312" w:eastAsia="仿宋_GB2312" w:cs="仿宋_GB2312"/>
          <w:b w:val="0"/>
          <w:bCs/>
          <w:sz w:val="32"/>
          <w:szCs w:val="32"/>
        </w:rPr>
        <w:t>注：如投标人的投标报价存在</w:t>
      </w:r>
      <w:r>
        <w:rPr>
          <w:rFonts w:hint="eastAsia" w:ascii="仿宋_GB2312" w:hAnsi="仿宋_GB2312" w:eastAsia="仿宋_GB2312" w:cs="仿宋_GB2312"/>
          <w:b w:val="0"/>
          <w:bCs/>
          <w:spacing w:val="-4"/>
          <w:sz w:val="32"/>
          <w:szCs w:val="32"/>
        </w:rPr>
        <w:t>漏（缺）项的，按废标处理。</w:t>
      </w:r>
    </w:p>
    <w:p>
      <w:pPr>
        <w:keepNext w:val="0"/>
        <w:keepLines w:val="0"/>
        <w:pageBreakBefore w:val="0"/>
        <w:widowControl w:val="0"/>
        <w:kinsoku/>
        <w:wordWrap/>
        <w:overflowPunct/>
        <w:topLinePunct w:val="0"/>
        <w:autoSpaceDE/>
        <w:autoSpaceDN/>
        <w:bidi w:val="0"/>
        <w:spacing w:line="560" w:lineRule="exact"/>
        <w:ind w:firstLine="313" w:firstLineChars="98"/>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（由评标委员会当场统一计算）。</w:t>
      </w:r>
    </w:p>
    <w:p>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（4）各初审合格投标人综合得分= F1＋F2＋F3 </w:t>
      </w:r>
    </w:p>
    <w:p>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说明：计算技术汇总得分、商务汇总得分及价格分时，经四舍五入后保留三位小数，计算投标人综合得分时，经四舍五入后保留两位小数。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18.2推荐中标候选人原则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18.2.1排名及排名规则：评标委员会根据以下原则对初审合格的投标人进行排名：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（1）综合得分高者排名在前，即：综合得分最高者排名第一，综合得分次高者排名第二，以此类推。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（2）综合得分相同时，投标报价低者排名在前；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（3）综合得分相同且投标报价相同时，技术分得分高者（即F1得分高者）排名在前；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（4）以上办法都不能确定排名时，评标委员会根据有利于项目实施的原则确定排名。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18.2.2推荐中标候选人：评标委员会将按比较与评价最优先原则，推荐出中标候选单位，其余的合格投标单位为备选供应商。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18.3.定标准则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18.3.1招标人将按照评标报告中推荐的中标候选人顺序确定拟中标人。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18.3.2招标人将审查拟中标人的投标人资格、信誉、生产条件、产品技术状态、性能以及其它投标人认为有必要了解的问题。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18.3.3如果确定拟中标人无能力履行合同，其投标将被拒绝，招标人将对下一个可能中标的投标人做类似审查。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18.3.4接受审查的拟中标人必须如实回答询问或接受招标人的考察，并提供所需的有关资料。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18.3.5中标通知书生效后，如果已中标的投标人不能按投标文件中承诺的条件履行签约行为，招标人有权在评标委员会推荐的中标候选人名单中按顺序选择新的合同授予人。</w:t>
      </w:r>
    </w:p>
    <w:p>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sz w:val="32"/>
          <w:szCs w:val="32"/>
        </w:rPr>
      </w:pPr>
      <w:bookmarkStart w:id="108" w:name="_Toc191892321"/>
      <w:bookmarkStart w:id="109" w:name="_Toc26017145"/>
      <w:bookmarkStart w:id="110" w:name="_Toc192925669"/>
      <w:r>
        <w:rPr>
          <w:rFonts w:hint="eastAsia" w:ascii="仿宋_GB2312" w:hAnsi="仿宋_GB2312" w:eastAsia="仿宋_GB2312" w:cs="仿宋_GB2312"/>
          <w:b w:val="0"/>
          <w:bCs/>
          <w:sz w:val="32"/>
          <w:szCs w:val="32"/>
        </w:rPr>
        <w:t>19. 投标文件的澄清</w:t>
      </w:r>
      <w:bookmarkEnd w:id="108"/>
      <w:bookmarkEnd w:id="109"/>
      <w:bookmarkEnd w:id="110"/>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19.1 对投标文件中含义不明确、同类问题表述不一致或者有明显文字和计算错误的内容，评标委员会将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sz w:val="32"/>
          <w:szCs w:val="32"/>
        </w:rPr>
      </w:pPr>
      <w:bookmarkStart w:id="111" w:name="_Toc26017146"/>
      <w:bookmarkStart w:id="112" w:name="_Toc192925670"/>
      <w:bookmarkStart w:id="113" w:name="_Toc191892322"/>
      <w:r>
        <w:rPr>
          <w:rFonts w:hint="eastAsia" w:ascii="仿宋_GB2312" w:hAnsi="仿宋_GB2312" w:eastAsia="仿宋_GB2312" w:cs="仿宋_GB2312"/>
          <w:b w:val="0"/>
          <w:bCs/>
          <w:sz w:val="32"/>
          <w:szCs w:val="32"/>
        </w:rPr>
        <w:t>20. 比较与评价</w:t>
      </w:r>
      <w:bookmarkEnd w:id="111"/>
      <w:bookmarkEnd w:id="112"/>
      <w:bookmarkEnd w:id="113"/>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20.1 评标委员会将按“投标人须知”前附表第6项所述的评标方法与标准，对资格性检查和符合性检查合格的投标文件，进行商务和技术评估，综合比较与评价。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 对漏（缺）报项的处理：招标文件中要求列入报价的费用（含配置、功能），漏（缺）报的视同已含在投标总价中。但在评标时取有效投标人该项最高报价加入漏（缺）报人的评标价进行评标。对多报项及赠送项的价格，评标时不予核减，全部进入评标价评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20.3 若投标人的报价明显低于其他报价，使得其投标报价将低于其个别成本的，将会影响服务质量或不能诚信履约的，投标人须按评标委员会要求做出书面说明并提供相关证明材料，不能合理说明或不能提供相关证明材料的，将作无效投标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20.4评标委员会将按比较与评价最优在先原则, 排列评价顺序, 根据在投标人须知前附表中确定的中标候选人数量，推荐出中标候选人。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20.5 在评标期间，若出现符合本须知规定的所有投标条件的投标人不足三家情形的，本次招标程序终止，除招标任务取消情形外，招标人将依法重新组织招标或者采取竞争性谈判等其他方式采购。</w:t>
      </w:r>
    </w:p>
    <w:p>
      <w:pPr>
        <w:pStyle w:val="3"/>
        <w:keepNext w:val="0"/>
        <w:keepLines w:val="0"/>
        <w:pageBreakBefore w:val="0"/>
        <w:widowControl w:val="0"/>
        <w:kinsoku/>
        <w:wordWrap/>
        <w:overflowPunct/>
        <w:topLinePunct w:val="0"/>
        <w:autoSpaceDE/>
        <w:autoSpaceDN/>
        <w:bidi w:val="0"/>
        <w:spacing w:before="0" w:after="0" w:line="560" w:lineRule="exact"/>
        <w:textAlignment w:val="auto"/>
        <w:rPr>
          <w:rFonts w:hint="eastAsia" w:ascii="仿宋_GB2312" w:hAnsi="仿宋_GB2312" w:eastAsia="仿宋_GB2312" w:cs="仿宋_GB2312"/>
          <w:b w:val="0"/>
          <w:bCs/>
          <w:sz w:val="32"/>
          <w:szCs w:val="32"/>
        </w:rPr>
      </w:pPr>
      <w:bookmarkStart w:id="114" w:name="_Toc26017147"/>
      <w:bookmarkStart w:id="115" w:name="_Toc191892323"/>
      <w:bookmarkStart w:id="116" w:name="_Toc192925671"/>
      <w:r>
        <w:rPr>
          <w:rFonts w:hint="eastAsia" w:ascii="仿宋_GB2312" w:hAnsi="仿宋_GB2312" w:eastAsia="仿宋_GB2312" w:cs="仿宋_GB2312"/>
          <w:b w:val="0"/>
          <w:bCs/>
          <w:sz w:val="32"/>
          <w:szCs w:val="32"/>
        </w:rPr>
        <w:t>第六节定标与签订合同</w:t>
      </w:r>
      <w:bookmarkEnd w:id="114"/>
      <w:bookmarkEnd w:id="115"/>
      <w:bookmarkEnd w:id="116"/>
    </w:p>
    <w:p>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sz w:val="32"/>
          <w:szCs w:val="32"/>
        </w:rPr>
      </w:pPr>
      <w:bookmarkStart w:id="117" w:name="_Toc191892324"/>
      <w:bookmarkStart w:id="118" w:name="_Toc192925672"/>
      <w:bookmarkStart w:id="119" w:name="_Toc26017148"/>
      <w:r>
        <w:rPr>
          <w:rFonts w:hint="eastAsia" w:ascii="仿宋_GB2312" w:hAnsi="仿宋_GB2312" w:eastAsia="仿宋_GB2312" w:cs="仿宋_GB2312"/>
          <w:b w:val="0"/>
          <w:bCs/>
          <w:sz w:val="32"/>
          <w:szCs w:val="32"/>
        </w:rPr>
        <w:t>20. 定标准则</w:t>
      </w:r>
      <w:bookmarkEnd w:id="117"/>
      <w:bookmarkEnd w:id="118"/>
      <w:bookmarkEnd w:id="119"/>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投标人的投标文件符合招标文件要求，按招标文件确定评标标准、方法，经评委评审并推荐中标候选人。</w:t>
      </w:r>
    </w:p>
    <w:p>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sz w:val="32"/>
          <w:szCs w:val="32"/>
        </w:rPr>
      </w:pPr>
      <w:bookmarkStart w:id="120" w:name="_Toc192925673"/>
      <w:bookmarkStart w:id="121" w:name="_Toc26017149"/>
      <w:bookmarkStart w:id="122" w:name="_Toc191892325"/>
      <w:r>
        <w:rPr>
          <w:rFonts w:hint="eastAsia" w:ascii="仿宋_GB2312" w:hAnsi="仿宋_GB2312" w:eastAsia="仿宋_GB2312" w:cs="仿宋_GB2312"/>
          <w:b w:val="0"/>
          <w:bCs/>
          <w:sz w:val="32"/>
          <w:szCs w:val="32"/>
        </w:rPr>
        <w:t>21. 中标通知</w:t>
      </w:r>
      <w:bookmarkEnd w:id="120"/>
      <w:bookmarkEnd w:id="121"/>
      <w:bookmarkEnd w:id="122"/>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21.1 评标结束后，评标结果经招标人流程确认后，招标人将向中标人发出中标通知书。中标通知书对招标人和中标人具有同等法律效力。中标通知书发出后，中标人放弃中标，应承担相应的法律责任。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21.2 招标人将向中标单位发出《中标通知书》，没有中标的其它投标人不另行通知。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21.3《中标通知书》将作为签订采购合同的依据。采购合同签订后，《中标通知书》成为合同的一部分。</w:t>
      </w:r>
    </w:p>
    <w:p>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 w:val="0"/>
          <w:bCs/>
          <w:sz w:val="32"/>
          <w:szCs w:val="32"/>
        </w:rPr>
      </w:pPr>
      <w:bookmarkStart w:id="123" w:name="_Toc26017150"/>
      <w:bookmarkStart w:id="124" w:name="_Toc192925674"/>
      <w:bookmarkStart w:id="125" w:name="_Toc191892326"/>
      <w:r>
        <w:rPr>
          <w:rFonts w:hint="eastAsia" w:ascii="仿宋_GB2312" w:hAnsi="仿宋_GB2312" w:eastAsia="仿宋_GB2312" w:cs="仿宋_GB2312"/>
          <w:b w:val="0"/>
          <w:bCs/>
          <w:sz w:val="32"/>
          <w:szCs w:val="32"/>
        </w:rPr>
        <w:t>22. 签订合同</w:t>
      </w:r>
      <w:bookmarkEnd w:id="123"/>
      <w:bookmarkEnd w:id="124"/>
      <w:bookmarkEnd w:id="125"/>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22.1中标人在《中标通知书》发出之日起20日内，根据招标文件确定的事项和中标人投标文件，与招标人签订采购合同。双方所签订的采购合同，不得对招标文件和中标人投标文件作实质性修改。逾期未签订采购合同，按照有关法律规定承担相应的法律责任；属于中标人责任的，招标人将没收其投标保证金，以抵偿对招标人造成的损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22.2招标文件、招标文件的修改文件、中标人的投标文件、补充或修改的文件及澄清或承诺文件等，均为双方签订采购合同的组成部分，并与采购合同一并作为本招标文件所列采购项目的互补性法律文件，与采购合同具有同等法律效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22.3中标人因不可抗力或者自身原因不能履行采购合同的，招标人将与排位在中标人之后第一位的中标候选人签订采购合同，以此类推。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22.4 中标人未能按招标人的要求，随时提供投标文件中出具的相关证明材料的原件，招标人有权认定投标人存在弄虚作假、骗取中标的行为。</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p>
      <w:pPr>
        <w:pStyle w:val="2"/>
        <w:keepNext w:val="0"/>
        <w:keepLines w:val="0"/>
        <w:spacing w:before="0" w:after="0" w:line="360" w:lineRule="auto"/>
        <w:jc w:val="center"/>
        <w:rPr>
          <w:rFonts w:hint="eastAsia" w:ascii="方正小标宋简体" w:hAnsi="方正小标宋简体" w:eastAsia="方正小标宋简体" w:cs="方正小标宋简体"/>
          <w:b w:val="0"/>
          <w:bCs w:val="0"/>
          <w:sz w:val="44"/>
          <w:szCs w:val="44"/>
        </w:rPr>
      </w:pPr>
      <w:bookmarkStart w:id="126" w:name="_Toc26017151"/>
      <w:r>
        <w:rPr>
          <w:rFonts w:hint="eastAsia" w:ascii="方正小标宋简体" w:hAnsi="方正小标宋简体" w:eastAsia="方正小标宋简体" w:cs="方正小标宋简体"/>
          <w:b w:val="0"/>
          <w:bCs w:val="0"/>
          <w:sz w:val="44"/>
          <w:szCs w:val="44"/>
        </w:rPr>
        <w:t>第三章　招标内容及要求</w:t>
      </w:r>
      <w:bookmarkEnd w:id="126"/>
    </w:p>
    <w:p>
      <w:pPr>
        <w:rPr>
          <w:rFonts w:ascii="仿宋" w:hAnsi="仿宋" w:eastAsia="仿宋"/>
          <w:sz w:val="32"/>
          <w:szCs w:val="32"/>
        </w:rPr>
      </w:pPr>
    </w:p>
    <w:p>
      <w:pPr>
        <w:pStyle w:val="3"/>
        <w:keepNext w:val="0"/>
        <w:keepLines w:val="0"/>
        <w:spacing w:before="0" w:after="0" w:line="360" w:lineRule="auto"/>
        <w:jc w:val="center"/>
        <w:rPr>
          <w:rFonts w:hint="eastAsia" w:ascii="仿宋_GB2312" w:hAnsi="仿宋_GB2312" w:eastAsia="仿宋_GB2312" w:cs="仿宋_GB2312"/>
          <w:sz w:val="32"/>
        </w:rPr>
      </w:pPr>
      <w:bookmarkStart w:id="127" w:name="_Toc26017152"/>
      <w:r>
        <w:rPr>
          <w:rFonts w:hint="eastAsia" w:ascii="仿宋_GB2312" w:hAnsi="仿宋_GB2312" w:eastAsia="仿宋_GB2312" w:cs="仿宋_GB2312"/>
          <w:sz w:val="32"/>
        </w:rPr>
        <w:t>第一节 项目需求</w:t>
      </w:r>
      <w:bookmarkEnd w:id="127"/>
    </w:p>
    <w:p>
      <w:pPr>
        <w:spacing w:before="60" w:after="60" w:line="5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一、项目需求：</w:t>
      </w:r>
      <w:bookmarkStart w:id="128" w:name="_bookmark18"/>
      <w:bookmarkEnd w:id="128"/>
    </w:p>
    <w:tbl>
      <w:tblPr>
        <w:tblStyle w:val="20"/>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4839"/>
        <w:gridCol w:w="1663"/>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 w:type="dxa"/>
            <w:vAlign w:val="center"/>
          </w:tcPr>
          <w:p>
            <w:pPr>
              <w:spacing w:line="500" w:lineRule="exact"/>
              <w:jc w:val="center"/>
              <w:rPr>
                <w:rFonts w:hint="eastAsia" w:ascii="仿宋_GB2312" w:hAnsi="仿宋_GB2312" w:eastAsia="仿宋_GB2312" w:cs="仿宋_GB2312"/>
                <w:b/>
                <w:sz w:val="32"/>
                <w:szCs w:val="32"/>
              </w:rPr>
            </w:pPr>
            <w:bookmarkStart w:id="129" w:name="_Hlk111034138"/>
            <w:r>
              <w:rPr>
                <w:rFonts w:hint="eastAsia" w:ascii="仿宋_GB2312" w:hAnsi="仿宋_GB2312" w:eastAsia="仿宋_GB2312" w:cs="仿宋_GB2312"/>
                <w:b/>
                <w:sz w:val="32"/>
                <w:szCs w:val="32"/>
              </w:rPr>
              <w:t>序号</w:t>
            </w:r>
          </w:p>
        </w:tc>
        <w:tc>
          <w:tcPr>
            <w:tcW w:w="483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型号及名称</w:t>
            </w:r>
          </w:p>
        </w:tc>
        <w:tc>
          <w:tcPr>
            <w:tcW w:w="1663"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单位</w:t>
            </w:r>
          </w:p>
        </w:tc>
        <w:tc>
          <w:tcPr>
            <w:tcW w:w="1491"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p>
        </w:tc>
        <w:tc>
          <w:tcPr>
            <w:tcW w:w="483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下一代防火墙</w:t>
            </w:r>
          </w:p>
        </w:tc>
        <w:tc>
          <w:tcPr>
            <w:tcW w:w="1663"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台</w:t>
            </w:r>
          </w:p>
        </w:tc>
        <w:tc>
          <w:tcPr>
            <w:tcW w:w="1491"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w:t>
            </w:r>
          </w:p>
        </w:tc>
        <w:tc>
          <w:tcPr>
            <w:tcW w:w="483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上网行为管理</w:t>
            </w:r>
          </w:p>
        </w:tc>
        <w:tc>
          <w:tcPr>
            <w:tcW w:w="1663"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台</w:t>
            </w:r>
          </w:p>
        </w:tc>
        <w:tc>
          <w:tcPr>
            <w:tcW w:w="1491"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w:t>
            </w:r>
          </w:p>
        </w:tc>
        <w:tc>
          <w:tcPr>
            <w:tcW w:w="483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堡垒机</w:t>
            </w:r>
          </w:p>
        </w:tc>
        <w:tc>
          <w:tcPr>
            <w:tcW w:w="1663"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套</w:t>
            </w:r>
          </w:p>
        </w:tc>
        <w:tc>
          <w:tcPr>
            <w:tcW w:w="1491"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w:t>
            </w:r>
          </w:p>
        </w:tc>
        <w:tc>
          <w:tcPr>
            <w:tcW w:w="483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SSLVPN网关</w:t>
            </w:r>
          </w:p>
        </w:tc>
        <w:tc>
          <w:tcPr>
            <w:tcW w:w="1663"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台</w:t>
            </w:r>
          </w:p>
        </w:tc>
        <w:tc>
          <w:tcPr>
            <w:tcW w:w="1491"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 w:type="dxa"/>
            <w:vAlign w:val="center"/>
          </w:tcPr>
          <w:p>
            <w:pPr>
              <w:spacing w:line="500" w:lineRule="exact"/>
              <w:jc w:val="center"/>
              <w:rPr>
                <w:rFonts w:hint="eastAsia" w:ascii="仿宋_GB2312" w:hAnsi="仿宋_GB2312" w:eastAsia="仿宋_GB2312" w:cs="仿宋_GB2312"/>
                <w:b/>
                <w:sz w:val="32"/>
                <w:szCs w:val="32"/>
              </w:rPr>
            </w:pPr>
            <w:bookmarkStart w:id="130" w:name="_Hlk109400887"/>
            <w:r>
              <w:rPr>
                <w:rFonts w:hint="eastAsia" w:ascii="仿宋_GB2312" w:hAnsi="仿宋_GB2312" w:eastAsia="仿宋_GB2312" w:cs="仿宋_GB2312"/>
                <w:b/>
                <w:sz w:val="32"/>
                <w:szCs w:val="32"/>
              </w:rPr>
              <w:t>5</w:t>
            </w:r>
          </w:p>
        </w:tc>
        <w:tc>
          <w:tcPr>
            <w:tcW w:w="483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核心交换机</w:t>
            </w:r>
          </w:p>
        </w:tc>
        <w:tc>
          <w:tcPr>
            <w:tcW w:w="1663"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台</w:t>
            </w:r>
          </w:p>
        </w:tc>
        <w:tc>
          <w:tcPr>
            <w:tcW w:w="1491"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6</w:t>
            </w:r>
          </w:p>
        </w:tc>
        <w:tc>
          <w:tcPr>
            <w:tcW w:w="483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分布式交换机</w:t>
            </w:r>
          </w:p>
        </w:tc>
        <w:tc>
          <w:tcPr>
            <w:tcW w:w="1663"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台</w:t>
            </w:r>
          </w:p>
        </w:tc>
        <w:tc>
          <w:tcPr>
            <w:tcW w:w="1491"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7</w:t>
            </w:r>
          </w:p>
        </w:tc>
        <w:tc>
          <w:tcPr>
            <w:tcW w:w="483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超融合集群</w:t>
            </w:r>
          </w:p>
        </w:tc>
        <w:tc>
          <w:tcPr>
            <w:tcW w:w="1663"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套</w:t>
            </w:r>
          </w:p>
        </w:tc>
        <w:tc>
          <w:tcPr>
            <w:tcW w:w="1491"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8</w:t>
            </w:r>
          </w:p>
        </w:tc>
        <w:tc>
          <w:tcPr>
            <w:tcW w:w="483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超融合软件</w:t>
            </w:r>
          </w:p>
        </w:tc>
        <w:tc>
          <w:tcPr>
            <w:tcW w:w="1663"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项</w:t>
            </w:r>
          </w:p>
        </w:tc>
        <w:tc>
          <w:tcPr>
            <w:tcW w:w="1491"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w:t>
            </w:r>
          </w:p>
        </w:tc>
      </w:tr>
      <w:bookmarkEnd w:id="1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9</w:t>
            </w:r>
          </w:p>
        </w:tc>
        <w:tc>
          <w:tcPr>
            <w:tcW w:w="483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机柜（含配件、辅材）</w:t>
            </w:r>
          </w:p>
        </w:tc>
        <w:tc>
          <w:tcPr>
            <w:tcW w:w="1663"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套</w:t>
            </w:r>
          </w:p>
        </w:tc>
        <w:tc>
          <w:tcPr>
            <w:tcW w:w="1491"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10</w:t>
            </w:r>
          </w:p>
        </w:tc>
        <w:tc>
          <w:tcPr>
            <w:tcW w:w="4839"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项目所需的万兆模块、千兆模块</w:t>
            </w:r>
          </w:p>
        </w:tc>
        <w:tc>
          <w:tcPr>
            <w:tcW w:w="1663"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批</w:t>
            </w:r>
          </w:p>
        </w:tc>
        <w:tc>
          <w:tcPr>
            <w:tcW w:w="1491"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p>
        </w:tc>
      </w:tr>
      <w:bookmarkEnd w:id="129"/>
    </w:tbl>
    <w:p>
      <w:pPr>
        <w:spacing w:line="500" w:lineRule="exact"/>
        <w:ind w:left="315"/>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注：如下一代防火墙设备自带的SSLVPN功能可满足指标项，优先选择，不另外采购SSLVPN网关设备。</w:t>
      </w:r>
    </w:p>
    <w:p>
      <w:pPr>
        <w:spacing w:line="500" w:lineRule="exact"/>
        <w:ind w:firstLine="640" w:firstLineChars="200"/>
        <w:jc w:val="left"/>
        <w:rPr>
          <w:rFonts w:hint="eastAsia" w:ascii="仿宋_GB2312" w:hAnsi="仿宋_GB2312" w:eastAsia="仿宋_GB2312" w:cs="仿宋_GB2312"/>
          <w:bCs/>
          <w:sz w:val="32"/>
          <w:szCs w:val="32"/>
        </w:rPr>
      </w:pPr>
    </w:p>
    <w:p>
      <w:pPr>
        <w:spacing w:line="50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二、设备配置及技术、质量要求:</w:t>
      </w:r>
    </w:p>
    <w:p>
      <w:pPr>
        <w:pStyle w:val="27"/>
        <w:numPr>
          <w:ilvl w:val="0"/>
          <w:numId w:val="2"/>
        </w:numPr>
        <w:spacing w:line="500" w:lineRule="exact"/>
        <w:ind w:left="315" w:leftChars="150" w:firstLine="643"/>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下一代防火墙</w:t>
      </w:r>
    </w:p>
    <w:tbl>
      <w:tblPr>
        <w:tblStyle w:val="19"/>
        <w:tblW w:w="90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4"/>
        <w:gridCol w:w="1985"/>
        <w:gridCol w:w="6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2689" w:type="dxa"/>
            <w:gridSpan w:val="2"/>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指标项</w:t>
            </w:r>
          </w:p>
        </w:tc>
        <w:tc>
          <w:tcPr>
            <w:tcW w:w="6369"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设备基本要求</w:t>
            </w:r>
          </w:p>
        </w:tc>
        <w:tc>
          <w:tcPr>
            <w:tcW w:w="1985"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专有硬件平台</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具有自主知识产权，硬件平台为安全产品专用模块化结构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操作系统</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▲具有自主知识产权安全操作系统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接口数量</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★配备千兆电口</w:t>
            </w:r>
            <w:r>
              <w:rPr>
                <w:rFonts w:hint="eastAsia" w:ascii="仿宋_GB2312" w:hAnsi="仿宋_GB2312" w:eastAsia="仿宋_GB2312" w:cs="仿宋_GB2312"/>
                <w:bCs/>
                <w:sz w:val="32"/>
                <w:szCs w:val="32"/>
              </w:rPr>
              <w:t>≥16，千兆光口≥8，万兆光口≥8，有独立的管理口和</w:t>
            </w:r>
            <w:r>
              <w:rPr>
                <w:rFonts w:hint="eastAsia" w:ascii="仿宋_GB2312" w:hAnsi="仿宋_GB2312" w:eastAsia="仿宋_GB2312" w:cs="仿宋_GB2312"/>
                <w:bCs/>
                <w:kern w:val="0"/>
                <w:sz w:val="32"/>
                <w:szCs w:val="32"/>
              </w:rPr>
              <w:t>console口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设备尺寸</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1U标准机架设备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电源</w:t>
            </w:r>
          </w:p>
        </w:tc>
        <w:tc>
          <w:tcPr>
            <w:tcW w:w="6369" w:type="dxa"/>
            <w:vAlign w:val="center"/>
          </w:tcPr>
          <w:p>
            <w:pPr>
              <w:widowControl/>
              <w:adjustRightInd w:val="0"/>
              <w:snapToGrid w:val="0"/>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提供双冗余热插拔电源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44" w:hRule="atLeast"/>
          <w:jc w:val="center"/>
        </w:trPr>
        <w:tc>
          <w:tcPr>
            <w:tcW w:w="2689" w:type="dxa"/>
            <w:gridSpan w:val="2"/>
            <w:tcBorders>
              <w:bottom w:val="single" w:color="auto" w:sz="4" w:space="0"/>
            </w:tcBorders>
            <w:vAlign w:val="center"/>
          </w:tcPr>
          <w:p>
            <w:pPr>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性能</w:t>
            </w:r>
          </w:p>
        </w:tc>
        <w:tc>
          <w:tcPr>
            <w:tcW w:w="6369" w:type="dxa"/>
            <w:tcBorders>
              <w:bottom w:val="single" w:color="auto" w:sz="4" w:space="0"/>
            </w:tcBorders>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★防火墙吞吐量</w:t>
            </w:r>
            <w:r>
              <w:rPr>
                <w:rFonts w:hint="eastAsia" w:ascii="仿宋_GB2312" w:hAnsi="仿宋_GB2312" w:eastAsia="仿宋_GB2312" w:cs="仿宋_GB2312"/>
                <w:bCs/>
                <w:sz w:val="32"/>
                <w:szCs w:val="32"/>
              </w:rPr>
              <w:t>≥80Gbps，</w:t>
            </w:r>
            <w:r>
              <w:rPr>
                <w:rFonts w:hint="eastAsia" w:ascii="仿宋_GB2312" w:hAnsi="仿宋_GB2312" w:eastAsia="仿宋_GB2312" w:cs="仿宋_GB2312"/>
                <w:bCs/>
                <w:kern w:val="0"/>
                <w:sz w:val="32"/>
                <w:szCs w:val="32"/>
              </w:rPr>
              <w:t>SSL检测吞吐量≥6Gbps，</w:t>
            </w:r>
          </w:p>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IPS吞吐量≥10Gbps ，NGFW吞吐量≥8Gbps，TP吞吐量≥6Gbps，最大并发会话数≥800万，每秒新建会话数≥50万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基本功能</w:t>
            </w:r>
          </w:p>
        </w:tc>
        <w:tc>
          <w:tcPr>
            <w:tcW w:w="1985"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路由协议</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支持多种路由协议：RIP，OSPF，BGP，IS-IS，Policy routing，Static routing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★支持静态路由、OSPF、BGP的双向IPv4和IPv6的BFD检测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支持使用域名方式作为目标地址的静态路由配置方式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IPv6</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IPv6协议栈：TCP6、UDP6、ICMPv6、PathMTU、ACL6等；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IPv6穿越技术：6over4、4over6；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IPv6路由协议：BGP4+、IS-ISv6、OSPFv3、RIPng等。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IPv6NAT技术：NAT64、NAT46、NAT66、DNS64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4"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NAT</w:t>
            </w:r>
          </w:p>
        </w:tc>
        <w:tc>
          <w:tcPr>
            <w:tcW w:w="6369" w:type="dxa"/>
            <w:vAlign w:val="center"/>
          </w:tcPr>
          <w:p>
            <w:pPr>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支持源NAT和目的NAT,</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kern w:val="0"/>
                <w:sz w:val="32"/>
                <w:szCs w:val="32"/>
              </w:rPr>
              <w:t>支持NAT的端口扩展技术，实现单个公网IP的无限地址转换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HA高可用性</w:t>
            </w:r>
          </w:p>
        </w:tc>
        <w:tc>
          <w:tcPr>
            <w:tcW w:w="6369" w:type="dxa"/>
            <w:vAlign w:val="center"/>
          </w:tcPr>
          <w:p>
            <w:pPr>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★支持主-备和主-主HA方案。双机热备要能支持多种组网形式，确保可靠性，并且数据接口和心跳线支持冗余。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5"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防火墙功能</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支持抵御所列所有攻击类型，包括：SCTP  Flood、SYN Flood、UDP Flood、ICMP Flood、ICMP sweep、动作支持记录、阻断两种模式。支持对不同安全域设定不同阈值和处理模式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支持基于国家地理位置设置安全策略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支持本地数据库，并可通过LDAP、Radius和Windows Active Directory域联动、TACACS+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9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内置高度集成的一体化智能过滤引擎技术，实现在同一条访问控制策略中配置传统的五元组信息、用户/用户组、应用、URL类型、接入类型、地理位置、终端类型、设备组、服务、时间、安全引擎（入侵、URL过滤、病毒过滤、沙箱过滤、SSL代理）的识别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restart"/>
            <w:shd w:val="clear" w:color="auto" w:fill="auto"/>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SD-WAN</w:t>
            </w:r>
          </w:p>
        </w:tc>
        <w:tc>
          <w:tcPr>
            <w:tcW w:w="1985" w:type="dxa"/>
            <w:vMerge w:val="restart"/>
            <w:shd w:val="clear" w:color="000000" w:fill="FFFFFF"/>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SD-WAN功能</w:t>
            </w:r>
          </w:p>
        </w:tc>
        <w:tc>
          <w:tcPr>
            <w:tcW w:w="6369" w:type="dxa"/>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★支持多种线路：DSL，3G/4G，MPLS，MSTP，Internet接入，并可以同时作为活动链路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shd w:val="clear" w:color="auto" w:fill="auto"/>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shd w:val="clear" w:color="000000" w:fill="FFFFFF"/>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▲支持为不同线路设置权重值，并根据权重值进行线路选择和带宽分配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shd w:val="clear" w:color="auto" w:fill="auto"/>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shd w:val="clear" w:color="000000" w:fill="FFFFFF"/>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★支持基于源地址、目的地址、源用户、应用、Internet服务等多元组设置SD-WAN规则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shd w:val="clear" w:color="auto" w:fill="auto"/>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shd w:val="clear" w:color="000000" w:fill="FFFFFF"/>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支持监控线路质量：延迟，抖动，丢包率以及其中的任意组合条件监控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shd w:val="clear" w:color="auto" w:fill="auto"/>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shd w:val="clear" w:color="000000" w:fill="FFFFFF"/>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sz w:val="32"/>
                <w:szCs w:val="32"/>
              </w:rPr>
              <w:t>支持基于延迟，抖动，丢包率的智能自动选路和SLA条件定义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shd w:val="clear" w:color="auto" w:fill="auto"/>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shd w:val="clear" w:color="000000" w:fill="FFFFFF"/>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支持根据应用，线路质量，最低Cost值，最大带宽等条件设置SLA保障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shd w:val="clear" w:color="auto" w:fill="auto"/>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shd w:val="clear" w:color="000000" w:fill="FFFFFF"/>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▲支持基于常规应用和云应用的选路，应用识别个数不低于3500个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shd w:val="clear" w:color="auto" w:fill="auto"/>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shd w:val="clear" w:color="000000" w:fill="FFFFFF"/>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支持基于源IP、源目IP、会话、带宽比率的负载均衡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shd w:val="clear" w:color="auto" w:fill="auto"/>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shd w:val="clear" w:color="000000" w:fill="FFFFFF"/>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支持基于源IP，用户/用户组，目的IP的选路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shd w:val="clear" w:color="auto" w:fill="auto"/>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shd w:val="clear" w:color="000000" w:fill="FFFFFF"/>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支持拓扑自动绘制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shd w:val="clear" w:color="auto" w:fill="auto"/>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shd w:val="clear" w:color="000000" w:fill="FFFFFF"/>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支持针对SD-WAN流量的QoS流量控制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shd w:val="clear" w:color="auto" w:fill="auto"/>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shd w:val="clear" w:color="000000" w:fill="FFFFFF"/>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支持前向纠错（FEC）功能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0" w:hRule="atLeast"/>
          <w:jc w:val="center"/>
        </w:trPr>
        <w:tc>
          <w:tcPr>
            <w:tcW w:w="704"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虚拟防火墙技术</w:t>
            </w:r>
          </w:p>
        </w:tc>
        <w:tc>
          <w:tcPr>
            <w:tcW w:w="1985"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虚拟防火墙技术</w:t>
            </w:r>
          </w:p>
        </w:tc>
        <w:tc>
          <w:tcPr>
            <w:tcW w:w="6369" w:type="dxa"/>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sz w:val="32"/>
                <w:szCs w:val="32"/>
              </w:rPr>
              <w:t>支持扩展虚拟防火墙系统，支持同一个网口用于多个虚拟防火墙支持虚拟系统技术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sz w:val="32"/>
                <w:szCs w:val="32"/>
              </w:rPr>
              <w:t>支持的虚拟系统数量≥10个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sz w:val="32"/>
                <w:szCs w:val="32"/>
              </w:rPr>
              <w:t>▲支持SDN Connector 功能，同步SDN控制器的地址对象信息，包括ACI，AWS，Azure，AliCloud NSX，Nuage，OCI，K8s，ESXi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支持为每个虚拟防火墙的会话数、策略数、用户数、IPSECVPN隧道数、硬盘空间使用量等进行按需分配。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▲每个虚拟系统支持防火墙功能、IPSEC VPN功能、SSL VPN功能、IPS功能、</w:t>
            </w:r>
          </w:p>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AV功能、URL过滤功能、关键字阻断、用户监控、应用监控功能等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IPS入侵防御</w:t>
            </w:r>
          </w:p>
        </w:tc>
        <w:tc>
          <w:tcPr>
            <w:tcW w:w="1985"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运行模式</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支持旁路和在线两种模式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协议支持</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支持对HTTP、FTP、SMTP、IMAP、POP3、TELNET、TCP、UDP、DNS、RPC、MSSQL、ORACLE、NNTP、DHCP、LDAP、VoIP、NETBIOS、TFTP、SUNRPC和MSRPC等常用协议及应用的攻击检测和防御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特征库</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★具备10000种以上攻击特征库规则列表，至少支持基于协议类型、操作系统、严重程度、特征名称、应用类型等方式的查询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HTTP类攻击防护（WAF功能）</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具备HTTP特征库规则列表，支持对Web服务器的安全防护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支持SQL注入、XSS防护，支持HTTP报头的长度、cookie的个数等参数限制策略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处理方式</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支持屏蔽攻击者，至少支持阻断攻击者IP和临时隔离两种，隔离时间可配置。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支持重置，向攻击者发TCP Reset包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支持只记录日志，检测到攻击事件后记录日志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支持抓包记录原始攻击报文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特征自定义</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支持自定义IPS特征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AV防病毒</w:t>
            </w:r>
          </w:p>
        </w:tc>
        <w:tc>
          <w:tcPr>
            <w:tcW w:w="1985"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病毒库</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支持病毒特征库自动升级服务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配置方法</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支持基于安全策略启用防病毒功能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支持对CIFS/SMB/SAMBA等文件共享协议进行病毒扫描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扫描文件类型</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支持对HTTP、FTP、SMTP、POP3、IMAP协议的应用进行病毒扫描和过滤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处理方式</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检测到病毒文件时，支持阻止和只记录日志两种处理方式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防病毒及恶意网站</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支持防恶意网站功能，防止用户点击恶意链接并访问恶意网站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▲支持恶意链接和病毒警告提示，提示用户所访问的网站为恶意网站或者发现病毒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URL过滤</w:t>
            </w:r>
          </w:p>
        </w:tc>
        <w:tc>
          <w:tcPr>
            <w:tcW w:w="1985"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URL过滤</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支持使用通配符、正则表达式定义URL类型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支持80种以上域名分类库，控制不良网站访问，支持查询URL归属的URL分类库.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支持DNS过滤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▲支持自定义URL阻止访问的告警页面。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云沙箱</w:t>
            </w:r>
          </w:p>
        </w:tc>
        <w:tc>
          <w:tcPr>
            <w:tcW w:w="1985"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云沙箱功能</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kern w:val="0"/>
                <w:sz w:val="32"/>
                <w:szCs w:val="32"/>
              </w:rPr>
              <w:t>支持云沙箱功能，将疑似威胁数据上传到云端，通过沙箱来判断文件是否为恶意软件。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管理功能</w:t>
            </w:r>
          </w:p>
        </w:tc>
        <w:tc>
          <w:tcPr>
            <w:tcW w:w="1985"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报表</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支持自定义配置邮件服务器，并通过邮件方式发送报表，报表类型包括安全威胁概览、网络流量分析、URL内容概览、URL访问详情等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日志</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★支持基于标准SYSLOG传输日志，支持基于TLS的Syslog传输（RFC5425）。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支持3个以上外置syslog传输日志且可根据要求进行过滤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配置文件备份</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支持配置文件备份至本地或外部系统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策略抓包</w:t>
            </w:r>
          </w:p>
        </w:tc>
        <w:tc>
          <w:tcPr>
            <w:tcW w:w="6369"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▲可以配置基于安全策略进行抓包，并可以把报文下载至本地进行分析查看。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监控和统计</w:t>
            </w:r>
          </w:p>
        </w:tc>
        <w:tc>
          <w:tcPr>
            <w:tcW w:w="636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支持在WEB界面上显示设备接口流量、每秒新建数、并发连接数信息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tcBorders>
              <w:top w:val="nil"/>
              <w:left w:val="single" w:color="auto" w:sz="4" w:space="0"/>
              <w:bottom w:val="single" w:color="auto" w:sz="4" w:space="0"/>
              <w:right w:val="single" w:color="auto" w:sz="4" w:space="0"/>
            </w:tcBorders>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▲支持基于IP源地址、目的地址总流量、上行流量、下行流量，最近1小时、最近一天的统计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tcBorders>
              <w:top w:val="nil"/>
              <w:left w:val="single" w:color="auto" w:sz="4" w:space="0"/>
              <w:bottom w:val="single" w:color="auto" w:sz="4" w:space="0"/>
              <w:right w:val="single" w:color="auto" w:sz="4" w:space="0"/>
            </w:tcBorders>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▲支持基于应用的流量、并发连接数、风险等级的实时、最近1小时、最近一天的统计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tcBorders>
              <w:top w:val="nil"/>
              <w:left w:val="single" w:color="auto" w:sz="4" w:space="0"/>
              <w:bottom w:val="single" w:color="auto" w:sz="4" w:space="0"/>
              <w:right w:val="single" w:color="auto" w:sz="4" w:space="0"/>
            </w:tcBorders>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▲支持对Web站点访问的流量、威胁等级进行每小时、每天统计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jc w:val="center"/>
        </w:trPr>
        <w:tc>
          <w:tcPr>
            <w:tcW w:w="70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1985"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69" w:type="dxa"/>
            <w:tcBorders>
              <w:top w:val="nil"/>
              <w:left w:val="single" w:color="auto" w:sz="4" w:space="0"/>
              <w:bottom w:val="single" w:color="auto" w:sz="4" w:space="0"/>
              <w:right w:val="single" w:color="auto" w:sz="4" w:space="0"/>
            </w:tcBorders>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▲支持NetFlow、sFlow协议对网络数据进行采样</w:t>
            </w:r>
          </w:p>
        </w:tc>
      </w:tr>
    </w:tbl>
    <w:p>
      <w:pPr>
        <w:pStyle w:val="27"/>
        <w:spacing w:line="500" w:lineRule="exact"/>
        <w:ind w:left="958" w:firstLine="0" w:firstLineChars="0"/>
        <w:jc w:val="left"/>
        <w:rPr>
          <w:rFonts w:hint="eastAsia" w:ascii="仿宋_GB2312" w:hAnsi="仿宋_GB2312" w:eastAsia="仿宋_GB2312" w:cs="仿宋_GB2312"/>
          <w:bCs/>
          <w:sz w:val="32"/>
          <w:szCs w:val="32"/>
        </w:rPr>
      </w:pPr>
    </w:p>
    <w:p>
      <w:pPr>
        <w:pStyle w:val="27"/>
        <w:numPr>
          <w:ilvl w:val="0"/>
          <w:numId w:val="2"/>
        </w:numPr>
        <w:spacing w:line="500" w:lineRule="exact"/>
        <w:ind w:left="315" w:leftChars="150" w:firstLine="643"/>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上网行为管理</w:t>
      </w:r>
    </w:p>
    <w:tbl>
      <w:tblPr>
        <w:tblStyle w:val="20"/>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3"/>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2687" w:type="dxa"/>
            <w:gridSpan w:val="2"/>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指标项</w:t>
            </w:r>
          </w:p>
        </w:tc>
        <w:tc>
          <w:tcPr>
            <w:tcW w:w="6385"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硬件规格</w:t>
            </w:r>
          </w:p>
        </w:tc>
        <w:tc>
          <w:tcPr>
            <w:tcW w:w="1983" w:type="dxa"/>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产品</w:t>
            </w:r>
            <w:r>
              <w:rPr>
                <w:rFonts w:hint="eastAsia" w:ascii="仿宋_GB2312" w:hAnsi="仿宋_GB2312" w:eastAsia="仿宋_GB2312" w:cs="仿宋_GB2312"/>
                <w:b/>
                <w:kern w:val="0"/>
                <w:sz w:val="32"/>
                <w:szCs w:val="32"/>
                <w:lang w:bidi="ar"/>
              </w:rPr>
              <w:t>结构</w:t>
            </w: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内置双电源，加电即可运行，启动过程无须人工干预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1983"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▲配备</w:t>
            </w:r>
            <w:r>
              <w:rPr>
                <w:rFonts w:hint="eastAsia" w:ascii="仿宋_GB2312" w:hAnsi="仿宋_GB2312" w:eastAsia="仿宋_GB2312" w:cs="仿宋_GB2312"/>
                <w:bCs/>
                <w:kern w:val="0"/>
                <w:sz w:val="32"/>
                <w:szCs w:val="32"/>
                <w:lang w:bidi="ar"/>
              </w:rPr>
              <w:t>拓展插槽，可根据需要进行接口或硬件拓展升级，无需返厂。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1983" w:type="dxa"/>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接口</w:t>
            </w: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★千兆</w:t>
            </w:r>
            <w:r>
              <w:rPr>
                <w:rFonts w:hint="eastAsia" w:ascii="仿宋_GB2312" w:hAnsi="仿宋_GB2312" w:eastAsia="仿宋_GB2312" w:cs="仿宋_GB2312"/>
                <w:bCs/>
                <w:kern w:val="0"/>
                <w:sz w:val="32"/>
                <w:szCs w:val="32"/>
                <w:lang w:bidi="ar"/>
              </w:rPr>
              <w:t>自适应电口数量≥12，千兆光口数量≥12，万兆光口数量≥4；接口无路由/交换/LAN/WAN等固化区分，均可作为二三层接口使用。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1983" w:type="dxa"/>
            <w:vMerge w:val="continue"/>
            <w:vAlign w:val="center"/>
          </w:tcPr>
          <w:p>
            <w:pPr>
              <w:spacing w:line="500" w:lineRule="exact"/>
              <w:jc w:val="center"/>
              <w:rPr>
                <w:rFonts w:hint="eastAsia" w:ascii="仿宋_GB2312" w:hAnsi="仿宋_GB2312" w:eastAsia="仿宋_GB2312" w:cs="仿宋_GB2312"/>
                <w:b/>
                <w:kern w:val="0"/>
                <w:sz w:val="32"/>
                <w:szCs w:val="32"/>
                <w:lang w:bidi="ar"/>
              </w:rPr>
            </w:pP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bidi="ar"/>
              </w:rPr>
              <w:t>Bypass接口≥2对，在设备断电、重启时，可自动切换到Bypass状态，当设备恢复时，可自动切换回工作状态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性能</w:t>
            </w:r>
          </w:p>
        </w:tc>
        <w:tc>
          <w:tcPr>
            <w:tcW w:w="1983"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网络吞吐量</w:t>
            </w: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★适配带宽5G,</w:t>
            </w:r>
            <w:r>
              <w:rPr>
                <w:rFonts w:hint="eastAsia" w:ascii="仿宋_GB2312" w:hAnsi="仿宋_GB2312" w:eastAsia="仿宋_GB2312" w:cs="仿宋_GB2312"/>
                <w:bCs/>
                <w:kern w:val="0"/>
                <w:sz w:val="32"/>
                <w:szCs w:val="32"/>
                <w:lang w:bidi="ar"/>
              </w:rPr>
              <w:t>网络层吞吐量≥40Gbps,应用层吞吐量≥20Gbps,最大并发连接数≥400万,内存≥4G,最大用户数≥10000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部署适应性</w:t>
            </w:r>
          </w:p>
        </w:tc>
        <w:tc>
          <w:tcPr>
            <w:tcW w:w="1983"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部署模式</w:t>
            </w: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支持路由模式、透明（网桥）模式、混合模式，支持镜像接口，部署模式切换无需重启设备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1983"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4G支持</w:t>
            </w: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bidi="ar"/>
              </w:rPr>
              <w:t>支持4G扩展网卡。支持在4G接口上运行IPSec VPN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704" w:type="dxa"/>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功能要求</w:t>
            </w:r>
          </w:p>
        </w:tc>
        <w:tc>
          <w:tcPr>
            <w:tcW w:w="1983" w:type="dxa"/>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安全通信</w:t>
            </w: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kern w:val="0"/>
                <w:sz w:val="32"/>
                <w:szCs w:val="32"/>
                <w:lang w:bidi="ar"/>
              </w:rPr>
              <w:t>支持H.323等应用协议ALG,支持IPV4/6双协议栈。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1983"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实际配置支持一对一、多对一、多对多等多种形式的NAT。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1983" w:type="dxa"/>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流量管理</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sz w:val="32"/>
                <w:szCs w:val="32"/>
              </w:rPr>
              <w:t>★</w:t>
            </w:r>
            <w:r>
              <w:rPr>
                <w:rFonts w:hint="eastAsia" w:ascii="仿宋_GB2312" w:hAnsi="仿宋_GB2312" w:eastAsia="仿宋_GB2312" w:cs="仿宋_GB2312"/>
                <w:bCs/>
                <w:kern w:val="0"/>
                <w:sz w:val="32"/>
                <w:szCs w:val="32"/>
                <w:lang w:bidi="ar"/>
              </w:rPr>
              <w:t>支持基于源地址、用户、服务、线路、应用、用量、时间进行带宽控制。控制策略支持带宽限制、带宽保障、延迟保障等。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1983"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支持智能流控调整策略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1983"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支持链路负载均衡、服务器负载均衡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1983" w:type="dxa"/>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应用识别</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sz w:val="32"/>
                <w:szCs w:val="32"/>
              </w:rPr>
              <w:t>★</w:t>
            </w:r>
            <w:r>
              <w:rPr>
                <w:rFonts w:hint="eastAsia" w:ascii="仿宋_GB2312" w:hAnsi="仿宋_GB2312" w:eastAsia="仿宋_GB2312" w:cs="仿宋_GB2312"/>
                <w:bCs/>
                <w:kern w:val="0"/>
                <w:sz w:val="32"/>
                <w:szCs w:val="32"/>
                <w:lang w:bidi="ar"/>
              </w:rPr>
              <w:t>内置应用对象识别种类≥6000个，支持主流P2P、IM、在线视频、网络游戏、网络炒股等应用识别，支持基于IP、端口等自定义协议服务，应用特征库可提供在线升级和手动升级。支持自定义应用对象。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1983" w:type="dxa"/>
            <w:vMerge w:val="continue"/>
            <w:vAlign w:val="center"/>
          </w:tcPr>
          <w:p>
            <w:pPr>
              <w:spacing w:line="500" w:lineRule="exact"/>
              <w:jc w:val="center"/>
              <w:rPr>
                <w:rFonts w:hint="eastAsia" w:ascii="仿宋_GB2312" w:hAnsi="仿宋_GB2312" w:eastAsia="仿宋_GB2312" w:cs="仿宋_GB2312"/>
                <w:b/>
                <w:kern w:val="0"/>
                <w:sz w:val="32"/>
                <w:szCs w:val="32"/>
                <w:lang w:bidi="ar"/>
              </w:rPr>
            </w:pP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▲支持IM应用的子协议识别，如收发信息、收发文件、登录登出等。支持社交网络的子协议识别，如发表、浏览、转发、点赞、上传图片视频等。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1983"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bidi="ar"/>
              </w:rPr>
              <w:t>支持智能和快速识别模式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1983" w:type="dxa"/>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URL过滤</w:t>
            </w: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kern w:val="0"/>
                <w:sz w:val="32"/>
                <w:szCs w:val="32"/>
                <w:lang w:bidi="ar"/>
              </w:rPr>
              <w:t>内置URL分类库，URL≥1000万，URL分类≥50个，URL库可在线升级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1983"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支持自定义URL过滤，并支持URL的模糊匹配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1983"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可广泛识别恶意网站、违法网站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1983"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用户行为分析</w:t>
            </w: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bidi="ar"/>
              </w:rPr>
              <w:t>支持对离职风险、工作效率、热门事件挖掘、非工作时间上网行为、校园网贷、沉溺网络行为、用户行为画像等做行为分析。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gridSpan w:val="2"/>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资质要求</w:t>
            </w: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★中国国家信息安全产品认证证书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2687" w:type="dxa"/>
            <w:gridSpan w:val="2"/>
            <w:vMerge w:val="continue"/>
            <w:vAlign w:val="center"/>
          </w:tcPr>
          <w:p>
            <w:pPr>
              <w:spacing w:line="500" w:lineRule="exact"/>
              <w:jc w:val="center"/>
              <w:rPr>
                <w:rFonts w:hint="eastAsia" w:ascii="仿宋_GB2312" w:hAnsi="仿宋_GB2312" w:eastAsia="仿宋_GB2312" w:cs="仿宋_GB2312"/>
                <w:b/>
                <w:sz w:val="32"/>
                <w:szCs w:val="32"/>
              </w:rPr>
            </w:pP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公安部公共信息网络安全监察局颁发的《计算机信息系统安全专用产品销售许可证》</w:t>
            </w:r>
          </w:p>
        </w:tc>
      </w:tr>
    </w:tbl>
    <w:p>
      <w:pPr>
        <w:spacing w:line="500" w:lineRule="exact"/>
        <w:jc w:val="left"/>
        <w:rPr>
          <w:rFonts w:hint="eastAsia" w:ascii="仿宋_GB2312" w:hAnsi="仿宋_GB2312" w:eastAsia="仿宋_GB2312" w:cs="仿宋_GB2312"/>
          <w:bCs/>
          <w:sz w:val="32"/>
          <w:szCs w:val="32"/>
        </w:rPr>
      </w:pPr>
    </w:p>
    <w:p>
      <w:pPr>
        <w:pStyle w:val="27"/>
        <w:numPr>
          <w:ilvl w:val="0"/>
          <w:numId w:val="2"/>
        </w:numPr>
        <w:spacing w:line="500" w:lineRule="exact"/>
        <w:ind w:left="315" w:leftChars="150" w:firstLine="643"/>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堡垒机</w:t>
      </w:r>
    </w:p>
    <w:tbl>
      <w:tblPr>
        <w:tblStyle w:val="2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689" w:type="dxa"/>
            <w:gridSpan w:val="2"/>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指标项</w:t>
            </w:r>
          </w:p>
        </w:tc>
        <w:tc>
          <w:tcPr>
            <w:tcW w:w="6378"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689" w:type="dxa"/>
            <w:gridSpan w:val="2"/>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硬件规格</w:t>
            </w:r>
          </w:p>
        </w:tc>
        <w:tc>
          <w:tcPr>
            <w:tcW w:w="6378"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w:t>
            </w:r>
            <w:r>
              <w:rPr>
                <w:rFonts w:hint="eastAsia" w:ascii="仿宋_GB2312" w:hAnsi="仿宋_GB2312" w:eastAsia="仿宋_GB2312" w:cs="仿宋_GB2312"/>
                <w:bCs/>
                <w:sz w:val="32"/>
                <w:szCs w:val="32"/>
              </w:rPr>
              <w:t>千兆电口≥4，接口可拓展；硬盘可用容量≥2TB，RAID1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689" w:type="dxa"/>
            <w:gridSpan w:val="2"/>
            <w:vMerge w:val="continue"/>
            <w:vAlign w:val="center"/>
          </w:tcPr>
          <w:p>
            <w:pPr>
              <w:spacing w:line="500" w:lineRule="exact"/>
              <w:jc w:val="center"/>
              <w:rPr>
                <w:rFonts w:hint="eastAsia" w:ascii="仿宋_GB2312" w:hAnsi="仿宋_GB2312" w:eastAsia="仿宋_GB2312" w:cs="仿宋_GB2312"/>
                <w:b/>
                <w:sz w:val="32"/>
                <w:szCs w:val="32"/>
              </w:rPr>
            </w:pPr>
          </w:p>
        </w:tc>
        <w:tc>
          <w:tcPr>
            <w:tcW w:w="6378"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w:t>
            </w:r>
            <w:r>
              <w:rPr>
                <w:rFonts w:hint="eastAsia" w:ascii="仿宋_GB2312" w:hAnsi="仿宋_GB2312" w:eastAsia="仿宋_GB2312" w:cs="仿宋_GB2312"/>
                <w:bCs/>
                <w:sz w:val="32"/>
                <w:szCs w:val="32"/>
              </w:rPr>
              <w:t>内置主机/设备操作监控许可数≥200，最大并发会话连接数≥1000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689" w:type="dxa"/>
            <w:gridSpan w:val="2"/>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部署方式</w:t>
            </w:r>
          </w:p>
        </w:tc>
        <w:tc>
          <w:tcPr>
            <w:tcW w:w="6378"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支持代理访问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689" w:type="dxa"/>
            <w:gridSpan w:val="2"/>
            <w:vMerge w:val="continue"/>
            <w:vAlign w:val="center"/>
          </w:tcPr>
          <w:p>
            <w:pPr>
              <w:spacing w:line="500" w:lineRule="exact"/>
              <w:jc w:val="center"/>
              <w:rPr>
                <w:rFonts w:hint="eastAsia" w:ascii="仿宋_GB2312" w:hAnsi="仿宋_GB2312" w:eastAsia="仿宋_GB2312" w:cs="仿宋_GB2312"/>
                <w:b/>
                <w:sz w:val="32"/>
                <w:szCs w:val="32"/>
              </w:rPr>
            </w:pPr>
          </w:p>
        </w:tc>
        <w:tc>
          <w:tcPr>
            <w:tcW w:w="6378"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支持双机热备，且支持文件级，实时同步（HA）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689" w:type="dxa"/>
            <w:gridSpan w:val="2"/>
            <w:vMerge w:val="continue"/>
            <w:vAlign w:val="center"/>
          </w:tcPr>
          <w:p>
            <w:pPr>
              <w:spacing w:line="500" w:lineRule="exact"/>
              <w:jc w:val="center"/>
              <w:rPr>
                <w:rFonts w:hint="eastAsia" w:ascii="仿宋_GB2312" w:hAnsi="仿宋_GB2312" w:eastAsia="仿宋_GB2312" w:cs="仿宋_GB2312"/>
                <w:b/>
                <w:sz w:val="32"/>
                <w:szCs w:val="32"/>
              </w:rPr>
            </w:pPr>
          </w:p>
        </w:tc>
        <w:tc>
          <w:tcPr>
            <w:tcW w:w="6378"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支持集群和分布式部署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689" w:type="dxa"/>
            <w:gridSpan w:val="2"/>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访问协议</w:t>
            </w:r>
          </w:p>
        </w:tc>
        <w:tc>
          <w:tcPr>
            <w:tcW w:w="6378"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支持字符型及文件传输协议：Telnet、SSH、FTP、SFTP、Rlogin</w:t>
            </w:r>
          </w:p>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支持图形会话协议：RDP、Xwindow、Radmin、Pcanywhere、Vnc、HTTP、HTTPS、X11</w:t>
            </w:r>
          </w:p>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支持数据库访问协议支持ORACLE、MSSQL、Sybase、Mysql、DB2数据库远程访问协议审计</w:t>
            </w:r>
          </w:p>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支持xshell、securecrt、putty、kvm等第三方客户端工具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689" w:type="dxa"/>
            <w:gridSpan w:val="2"/>
            <w:vMerge w:val="continue"/>
            <w:vAlign w:val="center"/>
          </w:tcPr>
          <w:p>
            <w:pPr>
              <w:spacing w:line="500" w:lineRule="exact"/>
              <w:jc w:val="center"/>
              <w:rPr>
                <w:rFonts w:hint="eastAsia" w:ascii="仿宋_GB2312" w:hAnsi="仿宋_GB2312" w:eastAsia="仿宋_GB2312" w:cs="仿宋_GB2312"/>
                <w:b/>
                <w:sz w:val="32"/>
                <w:szCs w:val="32"/>
              </w:rPr>
            </w:pPr>
          </w:p>
        </w:tc>
        <w:tc>
          <w:tcPr>
            <w:tcW w:w="6378"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支持客户端直接访问目标资源或使用运维账号、堡垒机认证模式访问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身份认证</w:t>
            </w: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★支持本地、radius、LDAP、AD域、短信、Usbkey、Token、SSH密钥认证方式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vMerge w:val="continue"/>
            <w:vAlign w:val="center"/>
          </w:tcPr>
          <w:p>
            <w:pPr>
              <w:spacing w:line="500" w:lineRule="exact"/>
              <w:jc w:val="center"/>
              <w:rPr>
                <w:rFonts w:hint="eastAsia" w:ascii="仿宋_GB2312" w:hAnsi="仿宋_GB2312" w:eastAsia="仿宋_GB2312" w:cs="仿宋_GB2312"/>
                <w:b/>
                <w:sz w:val="32"/>
                <w:szCs w:val="32"/>
              </w:rPr>
            </w:pP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★支持采用oauth2协议与统一身份认证系统进行对接，完成身份验证和授权.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vMerge w:val="continue"/>
            <w:vAlign w:val="center"/>
          </w:tcPr>
          <w:p>
            <w:pPr>
              <w:spacing w:line="500" w:lineRule="exact"/>
              <w:jc w:val="center"/>
              <w:rPr>
                <w:rFonts w:hint="eastAsia" w:ascii="仿宋_GB2312" w:hAnsi="仿宋_GB2312" w:eastAsia="仿宋_GB2312" w:cs="仿宋_GB2312"/>
                <w:b/>
                <w:sz w:val="32"/>
                <w:szCs w:val="32"/>
              </w:rPr>
            </w:pP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支持企业微信、钉钉发送登录验证码功能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vMerge w:val="continue"/>
            <w:vAlign w:val="center"/>
          </w:tcPr>
          <w:p>
            <w:pPr>
              <w:spacing w:line="500" w:lineRule="exact"/>
              <w:jc w:val="center"/>
              <w:rPr>
                <w:rFonts w:hint="eastAsia" w:ascii="仿宋_GB2312" w:hAnsi="仿宋_GB2312" w:eastAsia="仿宋_GB2312" w:cs="仿宋_GB2312"/>
                <w:b/>
                <w:sz w:val="32"/>
                <w:szCs w:val="32"/>
              </w:rPr>
            </w:pP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▲支持</w:t>
            </w:r>
            <w:r>
              <w:rPr>
                <w:rFonts w:hint="eastAsia" w:ascii="仿宋_GB2312" w:hAnsi="仿宋_GB2312" w:eastAsia="仿宋_GB2312" w:cs="仿宋_GB2312"/>
                <w:bCs/>
                <w:sz w:val="32"/>
                <w:szCs w:val="32"/>
              </w:rPr>
              <w:t>使用厂商提供的小程序完成TOTP认证，不需要安装app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vMerge w:val="continue"/>
            <w:vAlign w:val="center"/>
          </w:tcPr>
          <w:p>
            <w:pPr>
              <w:spacing w:line="500" w:lineRule="exact"/>
              <w:jc w:val="center"/>
              <w:rPr>
                <w:rFonts w:hint="eastAsia" w:ascii="仿宋_GB2312" w:hAnsi="仿宋_GB2312" w:eastAsia="仿宋_GB2312" w:cs="仿宋_GB2312"/>
                <w:b/>
                <w:sz w:val="32"/>
                <w:szCs w:val="32"/>
              </w:rPr>
            </w:pPr>
          </w:p>
        </w:tc>
        <w:tc>
          <w:tcPr>
            <w:tcW w:w="6378" w:type="dxa"/>
          </w:tcPr>
          <w:p>
            <w:pPr>
              <w:spacing w:line="500" w:lineRule="exact"/>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sz w:val="32"/>
                <w:szCs w:val="32"/>
              </w:rPr>
              <w:t>支持认证方式全局设定、单一用户认证方式设定，支持多种认证方式组合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访问授权</w:t>
            </w: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支持SSO功能，运维人员不必输入服务器帐号及密码，无需进行二次登录认证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vMerge w:val="continue"/>
            <w:vAlign w:val="center"/>
          </w:tcPr>
          <w:p>
            <w:pPr>
              <w:spacing w:line="500" w:lineRule="exact"/>
              <w:jc w:val="center"/>
              <w:rPr>
                <w:rFonts w:hint="eastAsia" w:ascii="仿宋_GB2312" w:hAnsi="仿宋_GB2312" w:eastAsia="仿宋_GB2312" w:cs="仿宋_GB2312"/>
                <w:b/>
                <w:sz w:val="32"/>
                <w:szCs w:val="32"/>
              </w:rPr>
            </w:pP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支持审批模式,运维用户访问特定的服务器设备必须经过管理员的临时审批授权才能进行，否则无法进行任何操作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vMerge w:val="continue"/>
            <w:vAlign w:val="center"/>
          </w:tcPr>
          <w:p>
            <w:pPr>
              <w:spacing w:line="500" w:lineRule="exact"/>
              <w:jc w:val="center"/>
              <w:rPr>
                <w:rFonts w:hint="eastAsia" w:ascii="仿宋_GB2312" w:hAnsi="仿宋_GB2312" w:eastAsia="仿宋_GB2312" w:cs="仿宋_GB2312"/>
                <w:b/>
                <w:sz w:val="32"/>
                <w:szCs w:val="32"/>
              </w:rPr>
            </w:pP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支持对重要命令进行实时审核,运维人员执行命令后，系统响应动作包括：指令审批、忽略指令、阻断会话、产生告警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vMerge w:val="continue"/>
            <w:vAlign w:val="center"/>
          </w:tcPr>
          <w:p>
            <w:pPr>
              <w:spacing w:line="500" w:lineRule="exact"/>
              <w:jc w:val="center"/>
              <w:rPr>
                <w:rFonts w:hint="eastAsia" w:ascii="仿宋_GB2312" w:hAnsi="仿宋_GB2312" w:eastAsia="仿宋_GB2312" w:cs="仿宋_GB2312"/>
                <w:b/>
                <w:sz w:val="32"/>
                <w:szCs w:val="32"/>
              </w:rPr>
            </w:pP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支持权限拓扑功能，可根据用户名或主机查看对应权限及相关用户或主机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用户管理功能</w:t>
            </w: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支持用户/用户组的多级架构管理，可以复制、剪切、粘贴、移除用户/用户组，实现用户/用户组架构的灵活调整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主机管理功能</w:t>
            </w: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★支持主机/主机组的多级架构管理，可以复制、剪切、粘贴、移除主机/主机组，实现主机/主机组架构的灵活调整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审计</w:t>
            </w: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日志、操作指令支持高级检索，查询条件支持与或非组合，条件匹配符支持等于、不等于、区间、包含、大于、小于等内容。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vMerge w:val="continue"/>
            <w:vAlign w:val="center"/>
          </w:tcPr>
          <w:p>
            <w:pPr>
              <w:spacing w:line="500" w:lineRule="exact"/>
              <w:jc w:val="center"/>
              <w:rPr>
                <w:rFonts w:hint="eastAsia" w:ascii="仿宋_GB2312" w:hAnsi="仿宋_GB2312" w:eastAsia="仿宋_GB2312" w:cs="仿宋_GB2312"/>
                <w:b/>
                <w:sz w:val="32"/>
                <w:szCs w:val="32"/>
              </w:rPr>
            </w:pP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操作回放支持在线和离线下载回放、从特定操作指令开始进行定位回放、自动过滤空闲时间、回放显示键鼠操作。回放文件应为常用视频格式，或提供专用播放器软件。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vMerge w:val="continue"/>
            <w:vAlign w:val="center"/>
          </w:tcPr>
          <w:p>
            <w:pPr>
              <w:spacing w:line="500" w:lineRule="exact"/>
              <w:jc w:val="center"/>
              <w:rPr>
                <w:rFonts w:hint="eastAsia" w:ascii="仿宋_GB2312" w:hAnsi="仿宋_GB2312" w:eastAsia="仿宋_GB2312" w:cs="仿宋_GB2312"/>
                <w:b/>
                <w:sz w:val="32"/>
                <w:szCs w:val="32"/>
              </w:rPr>
            </w:pP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支持订阅报表、内置报表模板、自定义报表模板、自定义报表水印，报表输出格式支持excel、pdf、html。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国密</w:t>
            </w: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支持国密局规定的国产商用密码标准SM1，SM2，SM3，SM4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协同操作</w:t>
            </w: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支持双人协同操作功能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批量执行</w:t>
            </w: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支持批量执行功能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vMerge w:val="continue"/>
            <w:vAlign w:val="center"/>
          </w:tcPr>
          <w:p>
            <w:pPr>
              <w:spacing w:line="500" w:lineRule="exact"/>
              <w:jc w:val="center"/>
              <w:rPr>
                <w:rFonts w:hint="eastAsia" w:ascii="仿宋_GB2312" w:hAnsi="仿宋_GB2312" w:eastAsia="仿宋_GB2312" w:cs="仿宋_GB2312"/>
                <w:b/>
                <w:sz w:val="32"/>
                <w:szCs w:val="32"/>
              </w:rPr>
            </w:pP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支持会话批量连接登录功能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trPr>
        <w:tc>
          <w:tcPr>
            <w:tcW w:w="704" w:type="dxa"/>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系统先进性</w:t>
            </w:r>
          </w:p>
        </w:tc>
        <w:tc>
          <w:tcPr>
            <w:tcW w:w="1985" w:type="dxa"/>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产品相关专利</w:t>
            </w: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提供安全终端仿真协议监控时实现会话复制和跟踪的方法的技术先进性证明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1985"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提供FTP二次登录系统及实现文件传输和过程监控方法的技术先进性证明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1985"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提供实现远程虚拟桌面访问统一管理和监控的系统及方法的技术先进性证明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1985" w:type="dxa"/>
            <w:vMerge w:val="continue"/>
            <w:vAlign w:val="center"/>
          </w:tcPr>
          <w:p>
            <w:pPr>
              <w:spacing w:line="500" w:lineRule="exact"/>
              <w:jc w:val="center"/>
              <w:rPr>
                <w:rFonts w:hint="eastAsia" w:ascii="仿宋_GB2312" w:hAnsi="仿宋_GB2312" w:eastAsia="仿宋_GB2312" w:cs="仿宋_GB2312"/>
                <w:b/>
                <w:sz w:val="32"/>
                <w:szCs w:val="32"/>
              </w:rPr>
            </w:pPr>
          </w:p>
        </w:tc>
        <w:tc>
          <w:tcPr>
            <w:tcW w:w="6378" w:type="dxa"/>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提供在远程桌面传输协议监控时实现操作识别的系统及方法的技术先进性证明</w:t>
            </w:r>
          </w:p>
        </w:tc>
      </w:tr>
    </w:tbl>
    <w:p>
      <w:pPr>
        <w:spacing w:line="500" w:lineRule="exact"/>
        <w:jc w:val="left"/>
        <w:rPr>
          <w:rFonts w:hint="eastAsia" w:ascii="仿宋_GB2312" w:hAnsi="仿宋_GB2312" w:eastAsia="仿宋_GB2312" w:cs="仿宋_GB2312"/>
          <w:bCs/>
          <w:sz w:val="32"/>
          <w:szCs w:val="32"/>
        </w:rPr>
      </w:pPr>
    </w:p>
    <w:p>
      <w:pPr>
        <w:spacing w:line="500" w:lineRule="exact"/>
        <w:jc w:val="left"/>
        <w:rPr>
          <w:rFonts w:hint="eastAsia" w:ascii="仿宋_GB2312" w:hAnsi="仿宋_GB2312" w:eastAsia="仿宋_GB2312" w:cs="仿宋_GB2312"/>
          <w:bCs/>
          <w:sz w:val="32"/>
          <w:szCs w:val="32"/>
        </w:rPr>
      </w:pPr>
    </w:p>
    <w:p>
      <w:pPr>
        <w:pStyle w:val="27"/>
        <w:numPr>
          <w:ilvl w:val="0"/>
          <w:numId w:val="2"/>
        </w:numPr>
        <w:spacing w:line="500" w:lineRule="exact"/>
        <w:ind w:left="315" w:leftChars="150" w:firstLine="643"/>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SSLVPN网关</w:t>
      </w:r>
    </w:p>
    <w:p>
      <w:pPr>
        <w:spacing w:line="500" w:lineRule="exact"/>
        <w:ind w:left="315"/>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注：如下一代防火墙设备自带的SSLVPN功能可满足指标项，优先选择，不另外采购SSLVPN网关设备。</w:t>
      </w:r>
    </w:p>
    <w:tbl>
      <w:tblPr>
        <w:tblStyle w:val="19"/>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94"/>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trPr>
        <w:tc>
          <w:tcPr>
            <w:tcW w:w="2694"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指标项</w:t>
            </w:r>
          </w:p>
        </w:tc>
        <w:tc>
          <w:tcPr>
            <w:tcW w:w="6378"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trPr>
        <w:tc>
          <w:tcPr>
            <w:tcW w:w="2694"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硬件规格</w:t>
            </w:r>
          </w:p>
        </w:tc>
        <w:tc>
          <w:tcPr>
            <w:tcW w:w="6378"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kern w:val="0"/>
                <w:sz w:val="32"/>
                <w:szCs w:val="32"/>
              </w:rPr>
              <w:t>标准1U机架尺寸，独立非插卡式VPN硬件设备，千兆电口≥4个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trPr>
        <w:tc>
          <w:tcPr>
            <w:tcW w:w="2694" w:type="dxa"/>
            <w:vAlign w:val="center"/>
          </w:tcPr>
          <w:p>
            <w:pPr>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性能要求(</w:t>
            </w:r>
            <w:r>
              <w:rPr>
                <w:rFonts w:hint="eastAsia" w:ascii="仿宋_GB2312" w:hAnsi="仿宋_GB2312" w:eastAsia="仿宋_GB2312" w:cs="仿宋_GB2312"/>
                <w:b/>
                <w:sz w:val="32"/>
                <w:szCs w:val="32"/>
              </w:rPr>
              <w:t>提供产品彩页证明</w:t>
            </w:r>
            <w:r>
              <w:rPr>
                <w:rFonts w:hint="eastAsia" w:ascii="仿宋_GB2312" w:hAnsi="仿宋_GB2312" w:eastAsia="仿宋_GB2312" w:cs="仿宋_GB2312"/>
                <w:b/>
                <w:kern w:val="0"/>
                <w:sz w:val="32"/>
                <w:szCs w:val="32"/>
              </w:rPr>
              <w:t>)</w:t>
            </w:r>
          </w:p>
        </w:tc>
        <w:tc>
          <w:tcPr>
            <w:tcW w:w="6378"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kern w:val="0"/>
                <w:sz w:val="32"/>
                <w:szCs w:val="32"/>
              </w:rPr>
              <w:t>IPsec VPN吞吐量≥55Gbps。IPSEC VPN隧道数≥2000条。SSL VPN并发用户数≥5000个，并提供相应用户授权。SSL加密速度≥200Mbps。每秒新建用户数≥75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5" w:hRule="atLeast"/>
        </w:trPr>
        <w:tc>
          <w:tcPr>
            <w:tcW w:w="2694"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IPSEC VPN</w:t>
            </w:r>
          </w:p>
        </w:tc>
        <w:tc>
          <w:tcPr>
            <w:tcW w:w="6378"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支持IPSec VPN功能，基于硬件3DES、AES、SHA-1等VPN加密、认证算法。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5" w:hRule="atLeast"/>
        </w:trPr>
        <w:tc>
          <w:tcPr>
            <w:tcW w:w="269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78"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不限IPSecVPN数量（移动用户除外），支持与第三方国际标准IPSecVPN对接，支持隧道间路由功能。可以实现通过结合RIP/OSPF路由实现VPN线路备份。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5" w:hRule="atLeast"/>
        </w:trPr>
        <w:tc>
          <w:tcPr>
            <w:tcW w:w="269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78" w:type="dxa"/>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支持ADVPN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trPr>
        <w:tc>
          <w:tcPr>
            <w:tcW w:w="2694"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SSL VPN</w:t>
            </w:r>
          </w:p>
        </w:tc>
        <w:tc>
          <w:tcPr>
            <w:tcW w:w="6378" w:type="dxa"/>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支持SSL VPN功能，满足远程用户的安全接入内网，支持Web应用模式和Tunnel模式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trPr>
        <w:tc>
          <w:tcPr>
            <w:tcW w:w="2694" w:type="dxa"/>
            <w:vMerge w:val="restart"/>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认证</w:t>
            </w:r>
          </w:p>
        </w:tc>
        <w:tc>
          <w:tcPr>
            <w:tcW w:w="6378" w:type="dxa"/>
            <w:vAlign w:val="center"/>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支持LocalDB、LDAP/AD、Radius、第三方CA、自建CA、Dkey、短信认证（短信猫和短信网关）、硬件特征码、动态令牌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trPr>
        <w:tc>
          <w:tcPr>
            <w:tcW w:w="2694" w:type="dxa"/>
            <w:vMerge w:val="continue"/>
            <w:vAlign w:val="center"/>
          </w:tcPr>
          <w:p>
            <w:pPr>
              <w:widowControl/>
              <w:adjustRightInd w:val="0"/>
              <w:snapToGrid w:val="0"/>
              <w:jc w:val="center"/>
              <w:rPr>
                <w:rFonts w:hint="eastAsia" w:ascii="仿宋_GB2312" w:hAnsi="仿宋_GB2312" w:eastAsia="仿宋_GB2312" w:cs="仿宋_GB2312"/>
                <w:b/>
                <w:kern w:val="0"/>
                <w:sz w:val="32"/>
                <w:szCs w:val="32"/>
              </w:rPr>
            </w:pPr>
          </w:p>
        </w:tc>
        <w:tc>
          <w:tcPr>
            <w:tcW w:w="6378" w:type="dxa"/>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▲支持多因素捆认证，可自定义与或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trPr>
        <w:tc>
          <w:tcPr>
            <w:tcW w:w="2694"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管理</w:t>
            </w:r>
          </w:p>
        </w:tc>
        <w:tc>
          <w:tcPr>
            <w:tcW w:w="6378" w:type="dxa"/>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bidi="ar"/>
              </w:rPr>
              <w:t>★</w:t>
            </w:r>
            <w:r>
              <w:rPr>
                <w:rFonts w:hint="eastAsia" w:ascii="仿宋_GB2312" w:hAnsi="仿宋_GB2312" w:eastAsia="仿宋_GB2312" w:cs="仿宋_GB2312"/>
                <w:bCs/>
                <w:kern w:val="0"/>
                <w:sz w:val="32"/>
                <w:szCs w:val="32"/>
              </w:rPr>
              <w:t>支持用户分组管理、访问资源应用级管理、角色权限管理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trPr>
        <w:tc>
          <w:tcPr>
            <w:tcW w:w="2694"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客户端</w:t>
            </w:r>
          </w:p>
        </w:tc>
        <w:tc>
          <w:tcPr>
            <w:tcW w:w="6378" w:type="dxa"/>
          </w:tcPr>
          <w:p>
            <w:pPr>
              <w:widowControl/>
              <w:adjustRightInd w:val="0"/>
              <w:snapToGrid w:val="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kern w:val="0"/>
                <w:sz w:val="32"/>
                <w:szCs w:val="32"/>
              </w:rPr>
              <w:t>支持主流桌面操作系统及移动操作系统，如windows,linux,android,ios等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 w:hRule="atLeast"/>
        </w:trPr>
        <w:tc>
          <w:tcPr>
            <w:tcW w:w="2694" w:type="dxa"/>
            <w:vAlign w:val="center"/>
          </w:tcPr>
          <w:p>
            <w:pPr>
              <w:widowControl/>
              <w:adjustRightInd w:val="0"/>
              <w:snapToGrid w:val="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国密</w:t>
            </w:r>
          </w:p>
        </w:tc>
        <w:tc>
          <w:tcPr>
            <w:tcW w:w="6378" w:type="dxa"/>
          </w:tcPr>
          <w:p>
            <w:pPr>
              <w:widowControl/>
              <w:adjustRightInd w:val="0"/>
              <w:snapToGrid w:val="0"/>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支持国密局规定的国产商用密码标准SM1，SM2，SM3，SM4</w:t>
            </w:r>
          </w:p>
        </w:tc>
      </w:tr>
    </w:tbl>
    <w:p>
      <w:pPr>
        <w:spacing w:line="500" w:lineRule="exact"/>
        <w:ind w:firstLine="416" w:firstLineChars="130"/>
        <w:jc w:val="left"/>
        <w:rPr>
          <w:rFonts w:hint="eastAsia" w:ascii="仿宋_GB2312" w:hAnsi="仿宋_GB2312" w:eastAsia="仿宋_GB2312" w:cs="仿宋_GB2312"/>
          <w:bCs/>
          <w:sz w:val="32"/>
          <w:szCs w:val="32"/>
        </w:rPr>
      </w:pPr>
    </w:p>
    <w:p>
      <w:pPr>
        <w:spacing w:line="500" w:lineRule="exact"/>
        <w:ind w:firstLine="418" w:firstLineChars="13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5.核心交换机</w:t>
      </w:r>
    </w:p>
    <w:tbl>
      <w:tblPr>
        <w:tblStyle w:val="20"/>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7"/>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2687"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指标项</w:t>
            </w:r>
          </w:p>
        </w:tc>
        <w:tc>
          <w:tcPr>
            <w:tcW w:w="6385"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硬件规格</w:t>
            </w: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设备高度≤1U，模块化电源≥2个模块化风扇≥2个，支持前后或后前通风方式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性能</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★交换容量≥25Tbps，包转发率≥1600Mpps，万兆光口≥48个, QSFP28端口≥6个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restart"/>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功能</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支持多虚一技术，可将多台物理设备虚拟化为一台逻辑设备统一管理，支持跨设备链路聚合，单一IP管理，统一的路由表项，单堆叠组堆叠台数≥9台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continue"/>
            <w:vAlign w:val="center"/>
          </w:tcPr>
          <w:p>
            <w:pPr>
              <w:spacing w:line="500" w:lineRule="exact"/>
              <w:jc w:val="center"/>
              <w:rPr>
                <w:rFonts w:hint="eastAsia" w:ascii="仿宋_GB2312" w:hAnsi="仿宋_GB2312" w:eastAsia="仿宋_GB2312" w:cs="仿宋_GB2312"/>
                <w:b/>
                <w:kern w:val="0"/>
                <w:sz w:val="32"/>
                <w:szCs w:val="32"/>
                <w:lang w:bidi="ar"/>
              </w:rPr>
            </w:pP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★支持VXLAN 二层交换技术，支持VXLAN网关与路由交换技术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continue"/>
            <w:vAlign w:val="center"/>
          </w:tcPr>
          <w:p>
            <w:pPr>
              <w:spacing w:line="500" w:lineRule="exact"/>
              <w:jc w:val="center"/>
              <w:rPr>
                <w:rFonts w:hint="eastAsia" w:ascii="仿宋_GB2312" w:hAnsi="仿宋_GB2312" w:eastAsia="仿宋_GB2312" w:cs="仿宋_GB2312"/>
                <w:b/>
                <w:kern w:val="0"/>
                <w:sz w:val="32"/>
                <w:szCs w:val="32"/>
                <w:lang w:bidi="ar"/>
              </w:rPr>
            </w:pP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支持基于端口的VLAN，支持基于协议的VLAN；支持基于MAC的VLAN；最大VLAN数≥4094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continue"/>
            <w:vAlign w:val="center"/>
          </w:tcPr>
          <w:p>
            <w:pPr>
              <w:spacing w:line="500" w:lineRule="exact"/>
              <w:jc w:val="center"/>
              <w:rPr>
                <w:rFonts w:hint="eastAsia" w:ascii="仿宋_GB2312" w:hAnsi="仿宋_GB2312" w:eastAsia="仿宋_GB2312" w:cs="仿宋_GB2312"/>
                <w:b/>
                <w:kern w:val="0"/>
                <w:sz w:val="32"/>
                <w:szCs w:val="32"/>
                <w:lang w:bidi="ar"/>
              </w:rPr>
            </w:pP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▲支持本地端口镜像和远程端口镜像RSPAN；支持流镜像；同时支持N：M的端口镜像（M＞1）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continue"/>
            <w:vAlign w:val="center"/>
          </w:tcPr>
          <w:p>
            <w:pPr>
              <w:spacing w:line="500" w:lineRule="exact"/>
              <w:jc w:val="center"/>
              <w:rPr>
                <w:rFonts w:hint="eastAsia" w:ascii="仿宋_GB2312" w:hAnsi="仿宋_GB2312" w:eastAsia="仿宋_GB2312" w:cs="仿宋_GB2312"/>
                <w:b/>
                <w:kern w:val="0"/>
                <w:sz w:val="32"/>
                <w:szCs w:val="32"/>
                <w:lang w:bidi="ar"/>
              </w:rPr>
            </w:pP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支持IPv4静态路由、RIP V1/V2、OSPF、BGP；支持IPv6静态路由、RIPng、OSPFv3、BGP4+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continue"/>
            <w:vAlign w:val="center"/>
          </w:tcPr>
          <w:p>
            <w:pPr>
              <w:spacing w:line="500" w:lineRule="exact"/>
              <w:jc w:val="center"/>
              <w:rPr>
                <w:rFonts w:hint="eastAsia" w:ascii="仿宋_GB2312" w:hAnsi="仿宋_GB2312" w:eastAsia="仿宋_GB2312" w:cs="仿宋_GB2312"/>
                <w:b/>
                <w:kern w:val="0"/>
                <w:sz w:val="32"/>
                <w:szCs w:val="32"/>
                <w:lang w:bidi="ar"/>
              </w:rPr>
            </w:pP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支持VRRPv2/v3（虚拟路由冗余协议)；支持RRPP（快速环网保护协议），环网故障恢复时间不超过200ms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管理界面</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★内置智能管理功能，支持通过图形化界面实现对网络的统一运维及管理，主要包括组网拓扑可视及管理、全局配置、设备升级备份、监控及设备故障替换等</w:t>
            </w:r>
          </w:p>
        </w:tc>
      </w:tr>
    </w:tbl>
    <w:p>
      <w:pPr>
        <w:spacing w:line="500" w:lineRule="exact"/>
        <w:ind w:firstLine="416" w:firstLineChars="130"/>
        <w:jc w:val="left"/>
        <w:rPr>
          <w:rFonts w:hint="eastAsia" w:ascii="仿宋_GB2312" w:hAnsi="仿宋_GB2312" w:eastAsia="仿宋_GB2312" w:cs="仿宋_GB2312"/>
          <w:bCs/>
          <w:sz w:val="32"/>
          <w:szCs w:val="32"/>
        </w:rPr>
      </w:pPr>
    </w:p>
    <w:p>
      <w:pPr>
        <w:spacing w:line="500" w:lineRule="exact"/>
        <w:ind w:firstLine="418" w:firstLineChars="13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6.分布式交换机</w:t>
      </w:r>
    </w:p>
    <w:tbl>
      <w:tblPr>
        <w:tblStyle w:val="20"/>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7"/>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2687"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指标项</w:t>
            </w:r>
          </w:p>
        </w:tc>
        <w:tc>
          <w:tcPr>
            <w:tcW w:w="6385"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性能</w:t>
            </w: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★交换容量≥23Tbps，转发性能≥360Mpps，≥24个SFP+万兆端口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restart"/>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功能</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 xml:space="preserve">支持智能弹性架构，最大堆叠台数≥9台，最大堆叠带宽≥160G，支持跨设备链路聚合，单一IP管理，分布式弹性路由，支持通过标准以太端口进行堆叠，支持完善的堆叠分裂检测机制，支持远程堆叠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continue"/>
            <w:vAlign w:val="center"/>
          </w:tcPr>
          <w:p>
            <w:pPr>
              <w:spacing w:line="500" w:lineRule="exact"/>
              <w:jc w:val="center"/>
              <w:rPr>
                <w:rFonts w:hint="eastAsia" w:ascii="仿宋_GB2312" w:hAnsi="仿宋_GB2312" w:eastAsia="仿宋_GB2312" w:cs="仿宋_GB2312"/>
                <w:b/>
                <w:kern w:val="0"/>
                <w:sz w:val="32"/>
                <w:szCs w:val="32"/>
                <w:lang w:bidi="ar"/>
              </w:rPr>
            </w:pP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★支持IPv4静态路由、RIP V1/V2、OSPF、BGP、IS-IS、策略路由、等价路由，支持IPv6静态路由、RIPng、OSPFv3、BGP4+，路由表容量≥16k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continue"/>
            <w:vAlign w:val="center"/>
          </w:tcPr>
          <w:p>
            <w:pPr>
              <w:spacing w:line="500" w:lineRule="exact"/>
              <w:jc w:val="center"/>
              <w:rPr>
                <w:rFonts w:hint="eastAsia" w:ascii="仿宋_GB2312" w:hAnsi="仿宋_GB2312" w:eastAsia="仿宋_GB2312" w:cs="仿宋_GB2312"/>
                <w:b/>
                <w:kern w:val="0"/>
                <w:sz w:val="32"/>
                <w:szCs w:val="32"/>
                <w:lang w:bidi="ar"/>
              </w:rPr>
            </w:pP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支持VRRPv2/v3（虚拟路由冗余协议)；支持RRPP（快速环网保护协议），环网故障恢复时间不超过200ms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continue"/>
            <w:vAlign w:val="center"/>
          </w:tcPr>
          <w:p>
            <w:pPr>
              <w:spacing w:line="500" w:lineRule="exact"/>
              <w:jc w:val="center"/>
              <w:rPr>
                <w:rFonts w:hint="eastAsia" w:ascii="仿宋_GB2312" w:hAnsi="仿宋_GB2312" w:eastAsia="仿宋_GB2312" w:cs="仿宋_GB2312"/>
                <w:b/>
                <w:kern w:val="0"/>
                <w:sz w:val="32"/>
                <w:szCs w:val="32"/>
                <w:lang w:bidi="ar"/>
              </w:rPr>
            </w:pP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支持802.1ae Macsec安全加密，实现MAC层安全加密，包括用户数据加密、数据帧完整性检查及数据源真实性校验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continue"/>
            <w:vAlign w:val="center"/>
          </w:tcPr>
          <w:p>
            <w:pPr>
              <w:spacing w:line="500" w:lineRule="exact"/>
              <w:jc w:val="center"/>
              <w:rPr>
                <w:rFonts w:hint="eastAsia" w:ascii="仿宋_GB2312" w:hAnsi="仿宋_GB2312" w:eastAsia="仿宋_GB2312" w:cs="仿宋_GB2312"/>
                <w:b/>
                <w:kern w:val="0"/>
                <w:sz w:val="32"/>
                <w:szCs w:val="32"/>
                <w:lang w:bidi="ar"/>
              </w:rPr>
            </w:pP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支持SNMP V1/V2/V3、RMON、SSHV2，支持OAM(802.1AG， 802.3AH)以太网运行、维护和管理标准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continue"/>
            <w:vAlign w:val="center"/>
          </w:tcPr>
          <w:p>
            <w:pPr>
              <w:spacing w:line="500" w:lineRule="exact"/>
              <w:jc w:val="center"/>
              <w:rPr>
                <w:rFonts w:hint="eastAsia" w:ascii="仿宋_GB2312" w:hAnsi="仿宋_GB2312" w:eastAsia="仿宋_GB2312" w:cs="仿宋_GB2312"/>
                <w:b/>
                <w:kern w:val="0"/>
                <w:sz w:val="32"/>
                <w:szCs w:val="32"/>
                <w:lang w:bidi="ar"/>
              </w:rPr>
            </w:pP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符合IEEE 802.3az（EEE）节能标准，端口定时down功能（Schedule job），支持端口休眠，关闭没有应用的端口，节省能源，支持智能风扇调速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模块接口</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单台配置4个万兆多模光模块，1条1.2m 电缆</w:t>
            </w:r>
          </w:p>
        </w:tc>
      </w:tr>
    </w:tbl>
    <w:p>
      <w:pPr>
        <w:spacing w:line="500" w:lineRule="exact"/>
        <w:ind w:firstLine="416" w:firstLineChars="130"/>
        <w:jc w:val="left"/>
        <w:rPr>
          <w:rFonts w:hint="eastAsia" w:ascii="仿宋_GB2312" w:hAnsi="仿宋_GB2312" w:eastAsia="仿宋_GB2312" w:cs="仿宋_GB2312"/>
          <w:bCs/>
          <w:sz w:val="32"/>
          <w:szCs w:val="32"/>
        </w:rPr>
      </w:pPr>
    </w:p>
    <w:p>
      <w:pPr>
        <w:spacing w:line="500" w:lineRule="exact"/>
        <w:ind w:firstLine="418"/>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7.超融合集群</w:t>
      </w:r>
    </w:p>
    <w:tbl>
      <w:tblPr>
        <w:tblStyle w:val="20"/>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7"/>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2687"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指标项</w:t>
            </w:r>
          </w:p>
        </w:tc>
        <w:tc>
          <w:tcPr>
            <w:tcW w:w="6385"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restart"/>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硬件规格</w:t>
            </w: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★国产2U机架式非OEM服务器，配置导轨，含冗余电源，单节点配置≥2颗 (2.1GHz/20核)CPU模块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continue"/>
            <w:vAlign w:val="center"/>
          </w:tcPr>
          <w:p>
            <w:pPr>
              <w:spacing w:line="500" w:lineRule="exact"/>
              <w:jc w:val="center"/>
              <w:rPr>
                <w:rFonts w:hint="eastAsia" w:ascii="仿宋_GB2312" w:hAnsi="仿宋_GB2312" w:eastAsia="仿宋_GB2312" w:cs="仿宋_GB2312"/>
                <w:b/>
                <w:kern w:val="0"/>
                <w:sz w:val="32"/>
                <w:szCs w:val="32"/>
                <w:lang w:bidi="ar"/>
              </w:rPr>
            </w:pP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★单节点配置≥256G DDR4内存，≥24个DIMM内存插槽,最大支持24根DDR4内存，最高速率2933MT/s，支持RDIMM或LRDIMM，最大容量3.0TB；支持≥12根英特尔傲腾数据中心级持久内存（DCPMM）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continue"/>
            <w:vAlign w:val="center"/>
          </w:tcPr>
          <w:p>
            <w:pPr>
              <w:spacing w:line="500" w:lineRule="exact"/>
              <w:jc w:val="center"/>
              <w:rPr>
                <w:rFonts w:hint="eastAsia" w:ascii="仿宋_GB2312" w:hAnsi="仿宋_GB2312" w:eastAsia="仿宋_GB2312" w:cs="仿宋_GB2312"/>
                <w:b/>
                <w:kern w:val="0"/>
                <w:sz w:val="32"/>
                <w:szCs w:val="32"/>
                <w:lang w:bidi="ar"/>
              </w:rPr>
            </w:pP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★单节点硬盘:≥2块480G SSD系统盘,≥5块8T HDD数据盘，≥1块960G NVME SSD缓存盘；配置≥4个1GE电口，≥4个万兆光口(含光模块)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continue"/>
            <w:vAlign w:val="center"/>
          </w:tcPr>
          <w:p>
            <w:pPr>
              <w:spacing w:line="500" w:lineRule="exact"/>
              <w:jc w:val="center"/>
              <w:rPr>
                <w:rFonts w:hint="eastAsia" w:ascii="仿宋_GB2312" w:hAnsi="仿宋_GB2312" w:eastAsia="仿宋_GB2312" w:cs="仿宋_GB2312"/>
                <w:b/>
                <w:kern w:val="0"/>
                <w:sz w:val="32"/>
                <w:szCs w:val="32"/>
                <w:lang w:bidi="ar"/>
              </w:rPr>
            </w:pP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单节点阵列卡≥1个标配SAS Raid阵列卡，支持RAID0/1/10/5/6/50/60/1E/Simple Volume；≥2GB缓存，支持缓存数据保护，且后备保护时间不受限制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continue"/>
            <w:vAlign w:val="center"/>
          </w:tcPr>
          <w:p>
            <w:pPr>
              <w:spacing w:line="500" w:lineRule="exact"/>
              <w:jc w:val="center"/>
              <w:rPr>
                <w:rFonts w:hint="eastAsia" w:ascii="仿宋_GB2312" w:hAnsi="仿宋_GB2312" w:eastAsia="仿宋_GB2312" w:cs="仿宋_GB2312"/>
                <w:b/>
                <w:kern w:val="0"/>
                <w:sz w:val="32"/>
                <w:szCs w:val="32"/>
                <w:lang w:bidi="ar"/>
              </w:rPr>
            </w:pP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单节点最大支持≥10个PCIe 3.0扩展槽，最大支持≥3块双宽GPU卡或8块单宽GPU卡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restart"/>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安全性</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支持最高5-50°C标准工作温度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Merge w:val="continue"/>
            <w:vAlign w:val="center"/>
          </w:tcPr>
          <w:p>
            <w:pPr>
              <w:spacing w:line="500" w:lineRule="exact"/>
              <w:jc w:val="center"/>
              <w:rPr>
                <w:rFonts w:hint="eastAsia" w:ascii="仿宋_GB2312" w:hAnsi="仿宋_GB2312" w:eastAsia="仿宋_GB2312" w:cs="仿宋_GB2312"/>
                <w:b/>
                <w:kern w:val="0"/>
                <w:sz w:val="32"/>
                <w:szCs w:val="32"/>
                <w:lang w:bidi="ar"/>
              </w:rPr>
            </w:pP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▲为保障主机安全性，支持机箱入侵检测，TCM/TPM安全模块，可选配置PCIe防护模块，提供防火墙、IPS、防病毒和QoS等防护功能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软件服务</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★支持计算虚拟机，存储虚拟化，网络虚拟化，总配置≥6C，20个虚拟机备份，2个虚拟防火墙授权，三年软件服务</w:t>
            </w:r>
          </w:p>
        </w:tc>
      </w:tr>
    </w:tbl>
    <w:p>
      <w:pPr>
        <w:spacing w:line="500" w:lineRule="exact"/>
        <w:ind w:firstLine="418"/>
        <w:jc w:val="left"/>
        <w:rPr>
          <w:rFonts w:hint="eastAsia" w:ascii="仿宋_GB2312" w:hAnsi="仿宋_GB2312" w:eastAsia="仿宋_GB2312" w:cs="仿宋_GB2312"/>
          <w:bCs/>
          <w:sz w:val="32"/>
          <w:szCs w:val="32"/>
        </w:rPr>
      </w:pPr>
    </w:p>
    <w:p>
      <w:pPr>
        <w:spacing w:line="500" w:lineRule="exact"/>
        <w:ind w:firstLine="418"/>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8.超融合软件</w:t>
      </w:r>
    </w:p>
    <w:tbl>
      <w:tblPr>
        <w:tblStyle w:val="20"/>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7"/>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2687"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指标项</w:t>
            </w:r>
          </w:p>
        </w:tc>
        <w:tc>
          <w:tcPr>
            <w:tcW w:w="6385"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资源管理</w:t>
            </w:r>
          </w:p>
        </w:tc>
        <w:tc>
          <w:tcPr>
            <w:tcW w:w="6385" w:type="dxa"/>
            <w:vAlign w:val="center"/>
          </w:tcPr>
          <w:p>
            <w:pPr>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可实现对计算、存储、网络等资源的统一管理，所有功能无需界面跳转即可实现全部操作，真正融合、简化管理。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统一运维</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针对超融合整体软硬件故障问题，提供统一的可视的监控管理中心，可视化实时监控中心从硬件可靠性（包括CPU、内存、磁盘、物理网卡和Raid卡）、系统可靠性（包括集群主机、分布式存储、集群网络配置状态和集群资源过载状态）、服务可靠性（包括站点容灾、集群可靠性HA、应用HA、计算资源DRS、虚拟机运行状态和虚拟机备份）三大层面进行实时监控、分层展示，运维人员可以直观查看集群的整体运行情况，可以快速诊断集群的健康状态，同时支持对无需关注的检测异常启用屏蔽功能，启用屏蔽功能的检测异常将不会上报显示，现实可视、可控、可管，简化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统一运维</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针对超融合整体软硬件故障问题，提供统一的可视的监控管理中心，可视化实时监控中心从硬件可靠性（包括CPU、内存、磁盘、物理网卡和Raid卡）、系统可靠性（包括集群主机、分布式存储、集群网络配置状态和集群资源过载状态）、服务可靠性（包括站点容灾、集群可靠性HA、应用HA、计算资源DRS、虚拟机运行状态和虚拟机备份）三大层面进行实时监控、分层展示，运维人员可以直观查看集群的整体运行情况，可以快速诊断集群的健康状态，同时支持对无需关注的检测异常启用屏蔽功能，启用屏蔽功能的检测异常将不会上报显示，现实可视、可控、可管，简化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资源扩容</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用户可以依据资源的使用情况，按需选择扩容计算存储型融合节点、计算虚拟化型节点即无需配置数据盘及相应存储虚拟化功能授权、存储虚拟化型节点即无需配置计算虚拟化相应功能授权，满足后期按业务对资源的需求进行灵活扩容，并节省采购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集群规模</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★集群节点数≥2节点，并支持超融合节点数为2节点时，最少扩容节点数为1，扩容时要求原有集群业务不停机，以满足依不同业务分区分域 部署需求，最小化配置集群规模，以降低初始投入，并满足资源无缝、按需扩展。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业务迁移</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★集成融合在线的p2v、v2v迁移工具，支持业界主流的操作系统、虚拟化平台、公有云。包括但不限于VMware、微软、华为、H3C 、阿里云、紫光云、深信服等厂商平台的迁移，提升被迁移业务平台的普适性、提升业务迁移的便捷性，降低业务迁移的工作量。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虚拟化安全</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无代理杀毒功能，降低资源开销，同时现实对Hypervisor层及主流Windows和Linux操作系统主机进行整体的安全防护，管理平台集成并提供统一的防病毒配置界面以提升便捷性，支持不少于2种业界主流防病毒软件供用户按需灵活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容量故障预测</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资源容量预测服务，内置时间序列模型，管理平台自动化实现数据检索预测，为提供用户易用的数据预测服务，服务支持呈现实时的CPU、内存和存储容量资源使用数据信息展示，并给出基于AI机器学习算法预测分析得到的预警时间点的提示，支持通过硬盘状态检测与预警技术，提供硬盘故障预测，提供资源扩容规划、硬盘故障预警的智能工具，提升业务整体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SSD寿命展示</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支持实时展示SSD固态硬盘寿命信息，以百分比展示SSD固态硬盘剩余寿命，作为及时更换硬盘提供信息支撑，保证业务的可连续性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拓扑管理</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支持对整个平台虚拟设备实现统一的管理，虚拟化 WEB 管理平台可以完成网络拓扑的构建，完成各类虚拟设备的自助逻辑编排，支持在管理平台上连接、开启、关闭各类虚拟设备，拓扑呈现业务流量信息，所画即所得，方便运维管理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自动部署</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管理平台对于新上线节点设备可基于链路层协议、被管理节点自动发现，自动分配其IP地址，降低管理难度。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网络安全</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▲配置分布式防火墙功能，基于监测虚机IP地址和端口进行东西向流量隔离控制；配置公网IP地址池，支持公网IP和私网IP绑定；配置软件负载均衡， 支持HTTP、HTTPS、TCP等监听协议，支持配置均衡算法（轮转算法，最小连接算法，源地址算法）；配置健康检查，可配置检查间隔、超时时长、重复次数等支持连通性监测；配置虚拟网络设备的连通性探测功能，方便在虚拟化环境中，进行相应的故障排除和恢复，能够定位到出现故障的虚拟网络设备，方便快速排查问题保障业务的高连续性。可选所有功能按物理CPU数量授权模式，或者按分布式防火墙、虚拟负载均衡功能授权模式，其要求单颗物理CPU单项功能授权许可数量不少于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纳管VMware</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▲支持通过管理平台的图形化界面对已有的VMware虚拟化平台进行无缝纳管，提供对VMware虚拟机的全生命周期管理和运维；支持对VMware虚拟机在线迁移到超融合平台，迁移过程中，用户业务不中断。支持VMware 6.0/6.5/6.7的标准版、企业版、企业增强版。满足对VMware平台的利旧和业务平滑过渡需求。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容器服务</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支持容器集群管理，可以创建多个容器集群，可对容器集群进行生命周期管理、以及升级、监控和运维；支持镜像仓库、应用模板和容器应用生命周期管理。已满足云原生应用的部署与运行需求。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异地容灾</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基于站点的异地容灾功能，基于存储的远程复制技术，在生产站点和灾备站点之间进行异步远程数据复制。当生产站点因意外(如火灾、洪水、地震、人为蓄意破坏等)停止工作时，利用灾备站点的备份数据，将业务切换到灾备站点，实现业务容灾，从而保持业务不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应用监控</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支持从超融合管理平台扩展应用监控服务组件，应用监控服务基于预置的监控模板，提供应用的实时监控告警管理服务能力，包括操作系统（Windows、CentOS、RHEL、Ubuntu、SUSE、AIX和HP-UX），数据库（MySQL、Oracle、达梦MPP、Redis和MongoDB），中间件（Tomcat、Apache、Weblogic、RabbitMQ、WebSphere），Url、Ping站点和Kubernetes的应用监控，用户无需重新开发自定义脚本，并展示各类资源的健康状态和关键指标，提供资源分类汇总视图，统计各类资源的数量。通过对应用的监控，提前预判故障风险，提升业务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7" w:type="dxa"/>
            <w:vAlign w:val="center"/>
          </w:tcPr>
          <w:p>
            <w:pPr>
              <w:spacing w:line="500" w:lineRule="exact"/>
              <w:jc w:val="center"/>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应用HA</w:t>
            </w:r>
          </w:p>
        </w:tc>
        <w:tc>
          <w:tcPr>
            <w:tcW w:w="6385" w:type="dxa"/>
            <w:vAlign w:val="center"/>
          </w:tcPr>
          <w:p>
            <w:pPr>
              <w:spacing w:line="500" w:lineRule="exact"/>
              <w:jc w:val="left"/>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▲提供应用级别的HA功能，无需在虚拟机内部安装代理即可自动检测并可自动修复虚拟机内运行的应用故障，包括但不限于Apache Tomcat、JDK、Apache HTTP Server、MySQL、SQL Server、SharePoint等应用，并支持用户自定义脚本进行应用状态的监控</w:t>
            </w:r>
          </w:p>
        </w:tc>
      </w:tr>
    </w:tbl>
    <w:p>
      <w:pPr>
        <w:spacing w:line="500" w:lineRule="exact"/>
        <w:ind w:firstLine="418"/>
        <w:jc w:val="left"/>
        <w:rPr>
          <w:rFonts w:hint="eastAsia" w:ascii="仿宋_GB2312" w:hAnsi="仿宋_GB2312" w:eastAsia="仿宋_GB2312" w:cs="仿宋_GB2312"/>
          <w:bCs/>
          <w:sz w:val="32"/>
          <w:szCs w:val="32"/>
        </w:rPr>
      </w:pPr>
    </w:p>
    <w:p>
      <w:pPr>
        <w:spacing w:line="500" w:lineRule="exact"/>
        <w:ind w:firstLine="418"/>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9.机柜（含配件、辅材）</w:t>
      </w:r>
    </w:p>
    <w:tbl>
      <w:tblPr>
        <w:tblStyle w:val="20"/>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9" w:type="dxa"/>
            <w:vAlign w:val="center"/>
          </w:tcPr>
          <w:p>
            <w:pPr>
              <w:pStyle w:val="27"/>
              <w:spacing w:line="500" w:lineRule="exact"/>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指标项</w:t>
            </w:r>
          </w:p>
        </w:tc>
        <w:tc>
          <w:tcPr>
            <w:tcW w:w="6383" w:type="dxa"/>
            <w:vAlign w:val="center"/>
          </w:tcPr>
          <w:p>
            <w:pPr>
              <w:pStyle w:val="27"/>
              <w:spacing w:line="500" w:lineRule="exact"/>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9" w:type="dxa"/>
            <w:vAlign w:val="center"/>
          </w:tcPr>
          <w:p>
            <w:pPr>
              <w:pStyle w:val="27"/>
              <w:spacing w:line="500" w:lineRule="exact"/>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机柜</w:t>
            </w:r>
          </w:p>
        </w:tc>
        <w:tc>
          <w:tcPr>
            <w:tcW w:w="6383" w:type="dxa"/>
            <w:vAlign w:val="center"/>
          </w:tcPr>
          <w:p>
            <w:pPr>
              <w:pStyle w:val="27"/>
              <w:spacing w:line="500" w:lineRule="exact"/>
              <w:ind w:firstLine="0" w:firstLineChars="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42U 600MM（宽）*1100MM（深）。配16插孔PDU电源2个。配散热风扇、层板、挂耳。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9" w:type="dxa"/>
            <w:vAlign w:val="center"/>
          </w:tcPr>
          <w:p>
            <w:pPr>
              <w:pStyle w:val="27"/>
              <w:spacing w:line="500" w:lineRule="exact"/>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配件、辅材</w:t>
            </w:r>
          </w:p>
        </w:tc>
        <w:tc>
          <w:tcPr>
            <w:tcW w:w="6383" w:type="dxa"/>
            <w:vAlign w:val="center"/>
          </w:tcPr>
          <w:p>
            <w:pPr>
              <w:pStyle w:val="27"/>
              <w:spacing w:line="500" w:lineRule="exact"/>
              <w:ind w:firstLine="0" w:firstLineChars="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尾纤、跳线、电源线、</w:t>
            </w:r>
            <w:r>
              <w:rPr>
                <w:rFonts w:hint="eastAsia" w:ascii="仿宋_GB2312" w:hAnsi="仿宋_GB2312" w:eastAsia="仿宋_GB2312" w:cs="仿宋_GB2312"/>
                <w:bCs/>
                <w:kern w:val="0"/>
                <w:sz w:val="32"/>
                <w:szCs w:val="32"/>
              </w:rPr>
              <w:t>管材、线材、延长模块、人工辅材等。数量满足上述设备的安装使用需要。</w:t>
            </w:r>
          </w:p>
        </w:tc>
      </w:tr>
    </w:tbl>
    <w:p>
      <w:pPr>
        <w:spacing w:line="500" w:lineRule="exact"/>
        <w:jc w:val="left"/>
        <w:rPr>
          <w:rFonts w:hint="eastAsia" w:ascii="仿宋_GB2312" w:hAnsi="仿宋_GB2312" w:eastAsia="仿宋_GB2312" w:cs="仿宋_GB2312"/>
          <w:bCs/>
          <w:sz w:val="32"/>
          <w:szCs w:val="32"/>
        </w:rPr>
      </w:pPr>
    </w:p>
    <w:p>
      <w:pPr>
        <w:spacing w:line="500" w:lineRule="exact"/>
        <w:ind w:firstLine="42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10.项目所需的万兆模块、千兆模块</w:t>
      </w:r>
    </w:p>
    <w:tbl>
      <w:tblPr>
        <w:tblStyle w:val="20"/>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9" w:type="dxa"/>
            <w:vAlign w:val="center"/>
          </w:tcPr>
          <w:p>
            <w:pPr>
              <w:pStyle w:val="27"/>
              <w:spacing w:line="500" w:lineRule="exact"/>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指标项</w:t>
            </w:r>
          </w:p>
        </w:tc>
        <w:tc>
          <w:tcPr>
            <w:tcW w:w="6383" w:type="dxa"/>
            <w:vAlign w:val="center"/>
          </w:tcPr>
          <w:p>
            <w:pPr>
              <w:pStyle w:val="27"/>
              <w:spacing w:line="500" w:lineRule="exact"/>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9" w:type="dxa"/>
            <w:vAlign w:val="center"/>
          </w:tcPr>
          <w:p>
            <w:pPr>
              <w:pStyle w:val="27"/>
              <w:spacing w:line="500" w:lineRule="exact"/>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万兆模块</w:t>
            </w:r>
          </w:p>
        </w:tc>
        <w:tc>
          <w:tcPr>
            <w:tcW w:w="6383" w:type="dxa"/>
            <w:vAlign w:val="center"/>
          </w:tcPr>
          <w:p>
            <w:pPr>
              <w:pStyle w:val="27"/>
              <w:spacing w:line="500" w:lineRule="exact"/>
              <w:ind w:firstLine="0" w:firstLineChars="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端口速率：万兆，与光缆的规格类型（单、多模）一致，数量符合上述设备的使用需要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89" w:type="dxa"/>
            <w:vAlign w:val="center"/>
          </w:tcPr>
          <w:p>
            <w:pPr>
              <w:pStyle w:val="27"/>
              <w:spacing w:line="500" w:lineRule="exact"/>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千兆模块</w:t>
            </w:r>
          </w:p>
        </w:tc>
        <w:tc>
          <w:tcPr>
            <w:tcW w:w="6383" w:type="dxa"/>
            <w:vAlign w:val="center"/>
          </w:tcPr>
          <w:p>
            <w:pPr>
              <w:pStyle w:val="27"/>
              <w:spacing w:line="500" w:lineRule="exact"/>
              <w:ind w:firstLine="0" w:firstLineChars="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端口速率：千兆，与光缆的规格类型（单、多模）一致，数量符合上述设备的使用需要</w:t>
            </w:r>
          </w:p>
        </w:tc>
      </w:tr>
    </w:tbl>
    <w:p>
      <w:pPr>
        <w:pStyle w:val="27"/>
        <w:ind w:firstLine="560"/>
        <w:jc w:val="left"/>
        <w:rPr>
          <w:rFonts w:ascii="仿宋" w:hAnsi="仿宋" w:eastAsia="仿宋"/>
          <w:bCs/>
          <w:sz w:val="28"/>
          <w:szCs w:val="28"/>
        </w:rPr>
      </w:pPr>
    </w:p>
    <w:p>
      <w:pPr>
        <w:spacing w:before="60" w:after="60" w:line="500" w:lineRule="exact"/>
        <w:ind w:firstLine="643" w:firstLineChars="200"/>
        <w:rPr>
          <w:rFonts w:ascii="仿宋" w:hAnsi="仿宋" w:eastAsia="仿宋"/>
          <w:b/>
          <w:sz w:val="32"/>
          <w:szCs w:val="32"/>
        </w:rPr>
      </w:pPr>
      <w:r>
        <w:rPr>
          <w:rFonts w:hint="eastAsia" w:ascii="仿宋_GB2312" w:hAnsi="仿宋_GB2312" w:eastAsia="仿宋_GB2312" w:cs="仿宋_GB2312"/>
          <w:b/>
          <w:sz w:val="32"/>
          <w:szCs w:val="32"/>
        </w:rPr>
        <w:t>三、技术要求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58240" behindDoc="0" locked="0" layoutInCell="1" allowOverlap="1">
            <wp:simplePos x="0" y="0"/>
            <wp:positionH relativeFrom="margin">
              <wp:posOffset>880110</wp:posOffset>
            </wp:positionH>
            <wp:positionV relativeFrom="margin">
              <wp:posOffset>4937760</wp:posOffset>
            </wp:positionV>
            <wp:extent cx="4297045" cy="2067560"/>
            <wp:effectExtent l="0" t="0" r="8255" b="8890"/>
            <wp:wrapTopAndBottom/>
            <wp:docPr id="1" name="图片 1" descr="D:\users\Administrator\Documents\WeChat Files\wxid_s38kx15fz7eu22\FileStorage\Temp\1660096051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users\Administrator\Documents\WeChat Files\wxid_s38kx15fz7eu22\FileStorage\Temp\16600960517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297045" cy="2067560"/>
                    </a:xfrm>
                    <a:prstGeom prst="rect">
                      <a:avLst/>
                    </a:prstGeom>
                    <a:noFill/>
                    <a:ln>
                      <a:noFill/>
                    </a:ln>
                  </pic:spPr>
                </pic:pic>
              </a:graphicData>
            </a:graphic>
          </wp:anchor>
        </w:drawing>
      </w:r>
      <w:r>
        <w:rPr>
          <w:rFonts w:hint="eastAsia" w:ascii="仿宋_GB2312" w:hAnsi="仿宋_GB2312" w:eastAsia="仿宋_GB2312" w:cs="仿宋_GB2312"/>
          <w:sz w:val="32"/>
          <w:szCs w:val="32"/>
        </w:rPr>
        <w:t>1.项目实施核心网络拓扑图（如有更优方案可提供说明文档）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2.投标人须提供投标设备的品牌、型号、详细配置及主要技术参数、性能说明及功能介绍，同时还应提供各主要部件的生产厂家、品牌及型号。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3.投标人必须提供所投标设备的全套配置清单（含数量及型号）。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4.投标人提供的货物必须为品牌机，产品应符合国家有关标准。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5.投标人应明确投标产品和招标要求存在正负偏离情况。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1.投标人应按照本采购项目特点提供长期良好的售后服务，并在投标文件中提供详细具体的售后服务承诺条款及保证。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招标要求对设备类产品提供自验收合格之日起提供不少于叁年免费现场保修维护服务，中标供应商最终维修服务响应时间为2小时，在4小时内到达现场进行免费维修服务，并于24小时内排除故障，使用户系统正常工作。特殊情况无法处理的，因按原厂质保要求进行保修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3.中标人负责组织专业技术人员进行设备安装调试，招标方应提供必须的基本条件和专人配合，保证各项安装工作顺利进行。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4.安装调试到位后的设备由中标人及招标方共同进行质量验收签字。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5.设备验收前，中标人须提供完整的技术资料（包括产品说明书、用户手册、出厂明细表或装箱单、制造厂质量合格证书及其他相关文件资料）以及针对该设备实际使用环境的操作手册。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6.中标人向招标方提供安装和维修所需特殊专用的工具、备件及清单和中文说明书，其费用包括在投标价格内。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7.中标人应在安装调试后配合招标方免费进行一次应急演练（如设备主备切换等）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8.工期要求：设备交付为签订合同后15个工作日内，完成工期为签订合同后30个工作日内（含设备交付日期）。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9.保修期不得少于叁年。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五、投标方资质要求：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1、投标人具有独立独立承担民事责任的能力，并具备参加招投标、政府采购活动的合法条件，且在有效期内。（须提供有效证明文件，原件备查）。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2、具有履行合同的必要施工设备和专业技术人员。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3、投标人若不是投标全部货物制造商的，必须提供其获得货物的制造商或制造商在中国的合法分支机构出具的针对本次投标项目的《原厂商售后服务承诺函》或《产品代理证书》。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4、在厦门有售后服务点。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六、材料设备供应：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招标方依据本合同之规定向投标方提供材料设备的，投标方应进行验收，如有质量异议的应在招标方提供后十日内提出。投标方验收后应妥善保管，如本合同无相反规定的，则招标方不另外支付保管费。投标方接收后，如发生损坏丢失或其他风险的，概由投标方负责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投标方依据本合同采购本工程所需的材料、设备的，则投标方应严格按照合同中规定的品牌和价格等级进行采购，如无规定品牌，投标方应向招标方提出书面报告，经招标方确认后可采用同等价位的其它品牌。投标方采购的所有材料、设备均应符合国家规定的相关产品质量要求，应有出厂合格证书、采购正规发票、设备或设施使用说明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七、设备交货及安装要求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1、本项目为整体采购的交钥匙项目。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2、投标人的投标货物须符合国家有关标准,设备及其元件、配件必须原厂原装、未经拆封，不能是自行拆装。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3、投标人须提供投标货物的品牌、型号、详细配置及主要技术参数、性能说明和功能介绍，同时还应提供各主要部件的生产厂家及型号。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4、投标人应明确报价货物和项目要求存在正负偏离情况。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5、投标人应在投标文件中附上谈判主要货物原厂商印制的技术说明书（中文版，若无中文版，应同时提供中文的翻译材料并对翻译的准确性负责）。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投标人必须具有完善的售后服务机构和售后服务体系。福建地区以外的投标人，在福建应有能够提供售后服务的分公司或合作伙伴办事处，能提供本地化技术服务，投标人应提供相关的证明材料。属分公司的，应在投标文件中提供在福建区域内工商行政管理部门注册登记的营业执照副本有效复印件。属合作伙伴的，投标人应在投标文件提供以下材料：(1)与合作伙伴签订的合作协议书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(2)福建本地合作伙伴的法人营业执照副本有效复印件(加盖合作伙伴的公章)。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★7、投标人须书面承诺所投产品必须是全新产品，如提供的产品是以旧翻新，按该产品全新的市场价10倍赔偿并承担由此给投标人造成的经济损失，其它投标人有权监督和检举。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sectPr>
          <w:footerReference r:id="rId3" w:type="default"/>
          <w:pgSz w:w="11907" w:h="16860"/>
          <w:pgMar w:top="1418" w:right="1418" w:bottom="1418" w:left="1418" w:header="857" w:footer="999" w:gutter="0"/>
          <w:cols w:space="720" w:num="1"/>
          <w:docGrid w:linePitch="286" w:charSpace="0"/>
        </w:sectPr>
      </w:pPr>
      <w:r>
        <w:rPr>
          <w:rFonts w:hint="eastAsia" w:ascii="仿宋_GB2312" w:hAnsi="仿宋_GB2312" w:eastAsia="仿宋_GB2312" w:cs="仿宋_GB2312"/>
          <w:sz w:val="32"/>
          <w:szCs w:val="32"/>
        </w:rPr>
        <w:t>注：以上要求若需要提供证明文件、材料的，均应在提交的材料上加盖投标人公章。</w:t>
      </w:r>
    </w:p>
    <w:p>
      <w:pPr>
        <w:pStyle w:val="3"/>
        <w:keepNext w:val="0"/>
        <w:keepLines w:val="0"/>
        <w:spacing w:before="0" w:after="0" w:line="500" w:lineRule="exact"/>
        <w:jc w:val="center"/>
        <w:rPr>
          <w:rFonts w:hint="eastAsia" w:ascii="方正小标宋简体" w:hAnsi="方正小标宋简体" w:eastAsia="方正小标宋简体" w:cs="方正小标宋简体"/>
          <w:b w:val="0"/>
          <w:bCs w:val="0"/>
          <w:sz w:val="44"/>
          <w:szCs w:val="44"/>
        </w:rPr>
      </w:pPr>
      <w:bookmarkStart w:id="131" w:name="_Toc26017153"/>
      <w:r>
        <w:rPr>
          <w:rFonts w:hint="eastAsia" w:ascii="方正小标宋简体" w:hAnsi="方正小标宋简体" w:eastAsia="方正小标宋简体" w:cs="方正小标宋简体"/>
          <w:b w:val="0"/>
          <w:bCs w:val="0"/>
          <w:sz w:val="44"/>
          <w:szCs w:val="44"/>
        </w:rPr>
        <w:t>第二节 商务要求</w:t>
      </w:r>
      <w:bookmarkEnd w:id="131"/>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一、投标要求</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1、投标人提供的设备制造标准、安装标准及技术规范等有关资料必须符合国家标准、行业标准及规范要求。</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2、投标人应根据招标要求在货物说明一览表中提供投标设备的品牌、制造商名称、实际产地、技术性能参数等详细的技术资料。</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3、投标人应承诺中标后提供货物制造厂商的出厂检验报告、合格证书、原产地证书。</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4、投标人应在投标文件中提供书面证明材料（包括彩页或相关检验报告等），证明投标人提供货物能实现的功能。</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5、投标文件中应明确包含设备价格及运到招标人指定地点的所有可能费用。</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投标人所提供的产品必须是自身合法开发或合法来源的全新的优质产品，并对之拥有可以依法出卖或交易的相应“物权”；任何有关产品的所有权、知识产权或担保物权可能提出的异议、有关索赔责任及费用或法律责任，均由投标人承担。</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7、投标人应依据招标文件要求及投标文件所作的承诺履行职责，如有违约，招标人有权根据有关法规与采购合同采取措施保证本次采购货物的顺利进行，并追究违约方的违约责任。</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8、投标人必须在投标文件中详细说明其售后服务承诺，包括有效电话、传真、企业主要工作人员的联系方式等。</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9、投标人认为有利于招标人的其它优惠条款应单独列明。</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10、招标文件中若有要求提供证书、证明、检测报告等文件复印件应加盖投标人公章（原件备查），且应在有效期内。</w:t>
      </w:r>
    </w:p>
    <w:p>
      <w:pPr>
        <w:pStyle w:val="8"/>
        <w:keepNext w:val="0"/>
        <w:keepLines w:val="0"/>
        <w:pageBreakBefore w:val="0"/>
        <w:kinsoku/>
        <w:wordWrap/>
        <w:overflowPunct/>
        <w:topLinePunct w:val="0"/>
        <w:autoSpaceDE/>
        <w:autoSpaceDN/>
        <w:bidi w:val="0"/>
        <w:spacing w:before="42" w:line="560" w:lineRule="exact"/>
        <w:ind w:right="144"/>
        <w:textAlignment w:val="auto"/>
        <w:rPr>
          <w:rFonts w:hint="eastAsia" w:ascii="仿宋_GB2312" w:hAnsi="仿宋_GB2312" w:eastAsia="仿宋_GB2312" w:cs="仿宋_GB2312"/>
          <w:b/>
          <w:color w:val="auto"/>
          <w:sz w:val="32"/>
          <w:szCs w:val="32"/>
        </w:rPr>
      </w:pPr>
      <w:bookmarkStart w:id="132" w:name="_bookmark21"/>
      <w:bookmarkEnd w:id="132"/>
      <w:r>
        <w:rPr>
          <w:rFonts w:hint="eastAsia" w:ascii="仿宋_GB2312" w:hAnsi="仿宋_GB2312" w:eastAsia="仿宋_GB2312" w:cs="仿宋_GB2312"/>
          <w:b/>
          <w:color w:val="auto"/>
          <w:sz w:val="32"/>
          <w:szCs w:val="32"/>
        </w:rPr>
        <w:t>二、验收条件及标准</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1、招标文件、投标文件、厂家货物技术标准说明及国家有关的质量标准规定，均为验收依据。</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2、货物运抵指定服务地点后由双方对照采购清单及技术要求进行验收，验收时成交商必须派代表参加。</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3、招标人有权委托我国相关具有检验资质的部门、单位、机构针对成交货物的精度、性能进行检验。其检验结果将作为验收标准的组成部分之一。</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4、验收过程所发生的一切费用由中标人承担。</w:t>
      </w:r>
    </w:p>
    <w:p>
      <w:pPr>
        <w:pStyle w:val="8"/>
        <w:keepNext w:val="0"/>
        <w:keepLines w:val="0"/>
        <w:pageBreakBefore w:val="0"/>
        <w:kinsoku/>
        <w:wordWrap/>
        <w:overflowPunct/>
        <w:topLinePunct w:val="0"/>
        <w:autoSpaceDE/>
        <w:autoSpaceDN/>
        <w:bidi w:val="0"/>
        <w:spacing w:before="42" w:line="560" w:lineRule="exact"/>
        <w:ind w:right="1658"/>
        <w:textAlignment w:val="auto"/>
        <w:rPr>
          <w:rFonts w:hint="eastAsia" w:ascii="仿宋_GB2312" w:hAnsi="仿宋_GB2312" w:eastAsia="仿宋_GB2312" w:cs="仿宋_GB2312"/>
          <w:b/>
          <w:color w:val="auto"/>
          <w:sz w:val="32"/>
          <w:szCs w:val="32"/>
        </w:rPr>
      </w:pPr>
      <w:bookmarkStart w:id="133" w:name="_bookmark22"/>
      <w:bookmarkEnd w:id="133"/>
      <w:r>
        <w:rPr>
          <w:rFonts w:hint="eastAsia" w:ascii="仿宋_GB2312" w:hAnsi="仿宋_GB2312" w:eastAsia="仿宋_GB2312" w:cs="仿宋_GB2312"/>
          <w:b/>
          <w:color w:val="auto"/>
          <w:sz w:val="32"/>
          <w:szCs w:val="32"/>
        </w:rPr>
        <w:t>三、售后服务与培训要求</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Style w:val="26"/>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（一）售后服务要求</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1、投标人应按照本采购项目特点提供长期良好的售后服务，并在投标文件中提供详细具体的售后服务承诺条款及保证。</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2、本批采购项目要求投标人承诺对所投设备提供自验收合格并交付使用之日起不少于叁年免费质保，提供免费设备保养服务（含调试及灾备演练）。所需的费用应包含在投标报价中。</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3、若中标设备发生故障，中标人须在4小时内到场维修响应，24小时内修复；特殊情况在24小时内无法恢复的，在维修及维护期内应予提供代用设备或使设备可正常运转的措施。</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4、投标人认为有利于招标人的其他优惠条款应单独列明。</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（二）培训要求</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中标人应免费为招标人提供成交设备的操作、使用及维护的技术培训服务。投标人应将所有培训费用（含培训教材费）计入投标总价。</w:t>
      </w:r>
    </w:p>
    <w:p>
      <w:pPr>
        <w:widowControl/>
        <w:adjustRightInd w:val="0"/>
        <w:snapToGrid w:val="0"/>
        <w:spacing w:before="60" w:beforeLines="25" w:after="60" w:afterLines="25" w:line="500" w:lineRule="exact"/>
        <w:ind w:firstLine="640" w:firstLineChars="200"/>
        <w:rPr>
          <w:rFonts w:ascii="仿宋" w:hAnsi="仿宋" w:eastAsia="仿宋"/>
          <w:sz w:val="32"/>
          <w:szCs w:val="32"/>
        </w:rPr>
      </w:pPr>
    </w:p>
    <w:p>
      <w:pPr>
        <w:pStyle w:val="3"/>
        <w:keepNext w:val="0"/>
        <w:keepLines w:val="0"/>
        <w:spacing w:before="0" w:after="0" w:line="500" w:lineRule="exact"/>
        <w:jc w:val="center"/>
        <w:rPr>
          <w:rFonts w:hint="eastAsia" w:ascii="方正小标宋简体" w:hAnsi="方正小标宋简体" w:eastAsia="方正小标宋简体" w:cs="方正小标宋简体"/>
          <w:b w:val="0"/>
          <w:bCs w:val="0"/>
          <w:sz w:val="44"/>
          <w:szCs w:val="44"/>
        </w:rPr>
      </w:pPr>
      <w:bookmarkStart w:id="134" w:name="_Toc26017154"/>
      <w:bookmarkStart w:id="135" w:name="_Toc468718876"/>
      <w:r>
        <w:rPr>
          <w:rFonts w:hint="eastAsia" w:ascii="方正小标宋简体" w:hAnsi="方正小标宋简体" w:eastAsia="方正小标宋简体" w:cs="方正小标宋简体"/>
          <w:b w:val="0"/>
          <w:bCs w:val="0"/>
          <w:sz w:val="44"/>
          <w:szCs w:val="44"/>
        </w:rPr>
        <w:t>第三节 报价要求</w:t>
      </w:r>
      <w:bookmarkEnd w:id="134"/>
      <w:bookmarkEnd w:id="135"/>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bookmarkStart w:id="136" w:name="_Toc468718878"/>
      <w:bookmarkStart w:id="137" w:name="_Toc306290240"/>
      <w:r>
        <w:rPr>
          <w:rFonts w:hint="eastAsia" w:ascii="仿宋_GB2312" w:hAnsi="仿宋_GB2312" w:eastAsia="仿宋_GB2312" w:cs="仿宋_GB2312"/>
          <w:sz w:val="32"/>
          <w:szCs w:val="32"/>
        </w:rPr>
        <w:t>1、报价以人民币为货币单位，应分单价、小计和总价。</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报价应包含但不限于以下费用：车身费、运输费、运输保险费、改装费等，各投标人应依据招标文件要求，并充分考虑市场、原材料价格上涨等风险，自行核算成本报价，各项目为整体采购，如有遗漏部分将不再进行增补。</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3、投标人漏报的单价或每单价报价中漏报、少报的费用，视为此项费用已隐含在投标报价中，中标后不得再向招标人收取任何费用。</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4、投标人对本项目只能有一个报价，招标人不接受有选择的报价。</w:t>
      </w:r>
    </w:p>
    <w:p>
      <w:pPr>
        <w:keepNext w:val="0"/>
        <w:keepLines w:val="0"/>
        <w:pageBreakBefore w:val="0"/>
        <w:widowControl/>
        <w:kinsoku/>
        <w:wordWrap/>
        <w:overflowPunct/>
        <w:topLinePunct w:val="0"/>
        <w:autoSpaceDE/>
        <w:autoSpaceDN/>
        <w:bidi w:val="0"/>
        <w:adjustRightInd w:val="0"/>
        <w:snapToGrid w:val="0"/>
        <w:spacing w:before="60" w:beforeLines="25" w:after="60" w:afterLines="25"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5、中标人在供货、安装调试及验收过程中，若出现安全事故，其责任及相应的赔偿均由中标人承担，投标人不承担所有责任及义务。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bookmarkEnd w:id="136"/>
      <w:bookmarkEnd w:id="137"/>
      <w:r>
        <w:rPr>
          <w:rFonts w:hint="eastAsia" w:ascii="仿宋_GB2312" w:hAnsi="仿宋_GB2312" w:eastAsia="仿宋_GB2312" w:cs="仿宋_GB2312"/>
          <w:sz w:val="32"/>
          <w:szCs w:val="32"/>
        </w:rPr>
        <w:t>履约保证金：中标人须向招标人缴交履约保证金，履约保证金在双方合同终止、交接清楚和债权债务等关系理顺后30日历天内无息返还。</w:t>
      </w:r>
    </w:p>
    <w:bookmarkEnd w:id="9"/>
    <w:p>
      <w:pPr>
        <w:pStyle w:val="2"/>
        <w:keepNext w:val="0"/>
        <w:keepLines w:val="0"/>
        <w:pageBreakBefore w:val="0"/>
        <w:kinsoku/>
        <w:wordWrap/>
        <w:overflowPunct/>
        <w:topLinePunct w:val="0"/>
        <w:autoSpaceDE/>
        <w:autoSpaceDN/>
        <w:bidi w:val="0"/>
        <w:spacing w:before="0" w:after="0" w:line="560" w:lineRule="exact"/>
        <w:jc w:val="center"/>
        <w:textAlignment w:val="auto"/>
        <w:rPr>
          <w:rFonts w:ascii="仿宋" w:hAnsi="仿宋" w:eastAsia="仿宋"/>
        </w:rPr>
      </w:pPr>
    </w:p>
    <w:p>
      <w:pPr>
        <w:pStyle w:val="2"/>
        <w:keepNext w:val="0"/>
        <w:keepLines w:val="0"/>
        <w:pageBreakBefore w:val="0"/>
        <w:kinsoku/>
        <w:wordWrap/>
        <w:overflowPunct/>
        <w:topLinePunct w:val="0"/>
        <w:autoSpaceDE/>
        <w:autoSpaceDN/>
        <w:bidi w:val="0"/>
        <w:spacing w:before="0" w:after="0" w:line="560" w:lineRule="exact"/>
        <w:jc w:val="center"/>
        <w:textAlignment w:val="auto"/>
        <w:rPr>
          <w:rFonts w:ascii="仿宋" w:hAnsi="仿宋" w:eastAsia="仿宋"/>
        </w:rPr>
      </w:pPr>
    </w:p>
    <w:p>
      <w:pPr>
        <w:pStyle w:val="2"/>
        <w:keepNext w:val="0"/>
        <w:keepLines w:val="0"/>
        <w:pageBreakBefore w:val="0"/>
        <w:kinsoku/>
        <w:wordWrap/>
        <w:overflowPunct/>
        <w:topLinePunct w:val="0"/>
        <w:autoSpaceDE/>
        <w:autoSpaceDN/>
        <w:bidi w:val="0"/>
        <w:spacing w:before="0" w:after="0" w:line="560" w:lineRule="exact"/>
        <w:jc w:val="center"/>
        <w:textAlignment w:val="auto"/>
        <w:rPr>
          <w:rFonts w:ascii="仿宋" w:hAnsi="仿宋" w:eastAsia="仿宋"/>
        </w:rPr>
      </w:pPr>
    </w:p>
    <w:p>
      <w:pPr>
        <w:pStyle w:val="2"/>
        <w:keepNext w:val="0"/>
        <w:keepLines w:val="0"/>
        <w:spacing w:before="0" w:after="0" w:line="500" w:lineRule="exact"/>
        <w:jc w:val="center"/>
        <w:rPr>
          <w:rFonts w:ascii="仿宋" w:hAnsi="仿宋" w:eastAsia="仿宋"/>
        </w:rPr>
      </w:pPr>
    </w:p>
    <w:p>
      <w:pPr>
        <w:pStyle w:val="2"/>
        <w:keepNext w:val="0"/>
        <w:keepLines w:val="0"/>
        <w:spacing w:before="0" w:after="0" w:line="500" w:lineRule="exact"/>
        <w:jc w:val="center"/>
        <w:rPr>
          <w:rFonts w:ascii="仿宋" w:hAnsi="仿宋" w:eastAsia="仿宋"/>
        </w:rPr>
      </w:pPr>
    </w:p>
    <w:p>
      <w:pPr>
        <w:pStyle w:val="2"/>
        <w:keepNext w:val="0"/>
        <w:keepLines w:val="0"/>
        <w:spacing w:before="0" w:after="0" w:line="500" w:lineRule="exact"/>
        <w:jc w:val="center"/>
        <w:rPr>
          <w:rFonts w:ascii="仿宋" w:hAnsi="仿宋" w:eastAsia="仿宋"/>
        </w:rPr>
      </w:pPr>
    </w:p>
    <w:p>
      <w:pPr>
        <w:pStyle w:val="2"/>
        <w:keepNext w:val="0"/>
        <w:keepLines w:val="0"/>
        <w:spacing w:before="0" w:after="0" w:line="500" w:lineRule="exact"/>
        <w:jc w:val="center"/>
        <w:rPr>
          <w:rFonts w:ascii="仿宋" w:hAnsi="仿宋" w:eastAsia="仿宋"/>
        </w:rPr>
      </w:pPr>
    </w:p>
    <w:p>
      <w:pPr>
        <w:pStyle w:val="2"/>
        <w:keepNext w:val="0"/>
        <w:keepLines w:val="0"/>
        <w:spacing w:before="0" w:after="0" w:line="500" w:lineRule="exact"/>
        <w:jc w:val="center"/>
        <w:rPr>
          <w:rFonts w:ascii="仿宋" w:hAnsi="仿宋" w:eastAsia="仿宋"/>
        </w:rPr>
      </w:pPr>
    </w:p>
    <w:p>
      <w:pPr>
        <w:pStyle w:val="2"/>
        <w:keepNext w:val="0"/>
        <w:keepLines w:val="0"/>
        <w:spacing w:before="0" w:after="0" w:line="500" w:lineRule="exact"/>
        <w:jc w:val="center"/>
        <w:rPr>
          <w:rFonts w:ascii="仿宋" w:hAnsi="仿宋" w:eastAsia="仿宋"/>
        </w:rPr>
      </w:pPr>
    </w:p>
    <w:p>
      <w:pPr>
        <w:pStyle w:val="2"/>
        <w:keepNext w:val="0"/>
        <w:keepLines w:val="0"/>
        <w:spacing w:before="0" w:after="0" w:line="500" w:lineRule="exact"/>
        <w:jc w:val="center"/>
        <w:rPr>
          <w:rFonts w:ascii="仿宋" w:hAnsi="仿宋" w:eastAsia="仿宋"/>
        </w:rPr>
      </w:pPr>
    </w:p>
    <w:p>
      <w:pPr>
        <w:pStyle w:val="2"/>
        <w:keepNext w:val="0"/>
        <w:keepLines w:val="0"/>
        <w:spacing w:before="0" w:after="0" w:line="500" w:lineRule="exact"/>
        <w:jc w:val="center"/>
        <w:rPr>
          <w:rFonts w:ascii="仿宋" w:hAnsi="仿宋" w:eastAsia="仿宋"/>
        </w:rPr>
      </w:pPr>
    </w:p>
    <w:p>
      <w:pPr>
        <w:pStyle w:val="2"/>
        <w:keepNext w:val="0"/>
        <w:keepLines w:val="0"/>
        <w:spacing w:before="0" w:after="0" w:line="500" w:lineRule="exact"/>
        <w:jc w:val="center"/>
        <w:rPr>
          <w:rFonts w:ascii="仿宋" w:hAnsi="仿宋" w:eastAsia="仿宋"/>
        </w:rPr>
      </w:pPr>
    </w:p>
    <w:p>
      <w:pPr>
        <w:pStyle w:val="2"/>
        <w:keepNext w:val="0"/>
        <w:keepLines w:val="0"/>
        <w:spacing w:before="0" w:after="0" w:line="500" w:lineRule="exact"/>
        <w:jc w:val="center"/>
        <w:rPr>
          <w:rFonts w:hint="eastAsia" w:ascii="方正小标宋简体" w:hAnsi="方正小标宋简体" w:eastAsia="方正小标宋简体" w:cs="方正小标宋简体"/>
          <w:b w:val="0"/>
          <w:bCs w:val="0"/>
          <w:sz w:val="44"/>
          <w:szCs w:val="44"/>
        </w:rPr>
      </w:pPr>
      <w:bookmarkStart w:id="138" w:name="_Toc26017155"/>
      <w:r>
        <w:rPr>
          <w:rFonts w:hint="eastAsia" w:ascii="方正小标宋简体" w:hAnsi="方正小标宋简体" w:eastAsia="方正小标宋简体" w:cs="方正小标宋简体"/>
          <w:b w:val="0"/>
          <w:bCs w:val="0"/>
          <w:sz w:val="44"/>
          <w:szCs w:val="44"/>
        </w:rPr>
        <w:t>第四章  投标文件格式</w:t>
      </w:r>
      <w:bookmarkEnd w:id="138"/>
    </w:p>
    <w:p>
      <w:pPr>
        <w:rPr>
          <w:rFonts w:ascii="仿宋" w:hAnsi="仿宋" w:eastAsia="仿宋"/>
        </w:rPr>
      </w:pPr>
    </w:p>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（本章格式文件可供参考，投标人可根据项目实际需求进行编制）</w:t>
      </w:r>
    </w:p>
    <w:p>
      <w:pPr>
        <w:pStyle w:val="29"/>
        <w:spacing w:line="360" w:lineRule="auto"/>
        <w:rPr>
          <w:rFonts w:ascii="仿宋" w:hAnsi="仿宋" w:eastAsia="仿宋"/>
          <w:color w:val="auto"/>
        </w:rPr>
      </w:pPr>
    </w:p>
    <w:p>
      <w:pPr>
        <w:pStyle w:val="29"/>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封面）</w:t>
      </w:r>
    </w:p>
    <w:p>
      <w:pPr>
        <w:spacing w:line="360" w:lineRule="auto"/>
        <w:jc w:val="center"/>
        <w:rPr>
          <w:rFonts w:ascii="仿宋" w:hAnsi="仿宋" w:eastAsia="仿宋"/>
          <w:b/>
          <w:sz w:val="72"/>
        </w:rPr>
      </w:pPr>
    </w:p>
    <w:p>
      <w:pPr>
        <w:spacing w:line="360" w:lineRule="auto"/>
        <w:jc w:val="center"/>
        <w:rPr>
          <w:rFonts w:ascii="仿宋" w:hAnsi="仿宋" w:eastAsia="仿宋"/>
          <w:b/>
          <w:sz w:val="72"/>
        </w:rPr>
      </w:pPr>
      <w:r>
        <w:rPr>
          <w:rFonts w:hint="eastAsia" w:ascii="仿宋_GB2312" w:hAnsi="仿宋_GB2312" w:eastAsia="仿宋_GB2312" w:cs="仿宋_GB2312"/>
          <w:b/>
          <w:sz w:val="72"/>
        </w:rPr>
        <w:t>投  标  文  件</w:t>
      </w:r>
    </w:p>
    <w:p>
      <w:pPr>
        <w:spacing w:line="360" w:lineRule="auto"/>
        <w:rPr>
          <w:rFonts w:ascii="仿宋" w:hAnsi="仿宋" w:eastAsia="仿宋"/>
          <w:b/>
          <w:sz w:val="36"/>
        </w:rPr>
      </w:pPr>
    </w:p>
    <w:p>
      <w:pPr>
        <w:spacing w:line="360" w:lineRule="auto"/>
        <w:ind w:firstLine="1084" w:firstLineChars="300"/>
        <w:rPr>
          <w:rFonts w:hint="eastAsia" w:ascii="仿宋_GB2312" w:hAnsi="仿宋_GB2312" w:eastAsia="仿宋_GB2312" w:cs="仿宋_GB2312"/>
          <w:b/>
          <w:sz w:val="36"/>
        </w:rPr>
      </w:pPr>
      <w:r>
        <w:rPr>
          <w:rFonts w:hint="eastAsia" w:ascii="仿宋_GB2312" w:hAnsi="仿宋_GB2312" w:eastAsia="仿宋_GB2312" w:cs="仿宋_GB2312"/>
          <w:b/>
          <w:sz w:val="36"/>
        </w:rPr>
        <w:t>项 目 名 称：</w:t>
      </w:r>
    </w:p>
    <w:p>
      <w:pPr>
        <w:spacing w:line="360" w:lineRule="auto"/>
        <w:ind w:firstLine="1084" w:firstLineChars="300"/>
        <w:rPr>
          <w:rFonts w:hint="eastAsia" w:ascii="仿宋_GB2312" w:hAnsi="仿宋_GB2312" w:eastAsia="仿宋_GB2312" w:cs="仿宋_GB2312"/>
          <w:b/>
          <w:sz w:val="36"/>
          <w:u w:val="single"/>
        </w:rPr>
      </w:pPr>
      <w:r>
        <w:rPr>
          <w:rFonts w:hint="eastAsia" w:ascii="仿宋_GB2312" w:hAnsi="仿宋_GB2312" w:eastAsia="仿宋_GB2312" w:cs="仿宋_GB2312"/>
          <w:b/>
          <w:sz w:val="36"/>
        </w:rPr>
        <w:t>招 标 编 号：</w:t>
      </w:r>
    </w:p>
    <w:p>
      <w:pPr>
        <w:spacing w:line="360" w:lineRule="auto"/>
        <w:rPr>
          <w:rFonts w:hint="eastAsia" w:ascii="仿宋_GB2312" w:hAnsi="仿宋_GB2312" w:eastAsia="仿宋_GB2312" w:cs="仿宋_GB2312"/>
          <w:b/>
          <w:sz w:val="36"/>
        </w:rPr>
      </w:pPr>
    </w:p>
    <w:p>
      <w:pPr>
        <w:spacing w:line="360" w:lineRule="auto"/>
        <w:rPr>
          <w:rFonts w:hint="eastAsia" w:ascii="仿宋_GB2312" w:hAnsi="仿宋_GB2312" w:eastAsia="仿宋_GB2312" w:cs="仿宋_GB2312"/>
          <w:b/>
          <w:sz w:val="36"/>
        </w:rPr>
      </w:pPr>
    </w:p>
    <w:p>
      <w:pPr>
        <w:spacing w:line="360" w:lineRule="auto"/>
        <w:rPr>
          <w:rFonts w:hint="eastAsia" w:ascii="仿宋_GB2312" w:hAnsi="仿宋_GB2312" w:eastAsia="仿宋_GB2312" w:cs="仿宋_GB2312"/>
          <w:b/>
          <w:sz w:val="36"/>
          <w:u w:val="single"/>
        </w:rPr>
      </w:pPr>
      <w:r>
        <w:rPr>
          <w:rFonts w:hint="eastAsia" w:ascii="仿宋_GB2312" w:hAnsi="仿宋_GB2312" w:eastAsia="仿宋_GB2312" w:cs="仿宋_GB2312"/>
          <w:b/>
          <w:sz w:val="36"/>
        </w:rPr>
        <w:t xml:space="preserve">       投标人名称 ：</w:t>
      </w:r>
    </w:p>
    <w:p>
      <w:pPr>
        <w:spacing w:line="360" w:lineRule="auto"/>
        <w:rPr>
          <w:rFonts w:hint="eastAsia" w:ascii="仿宋_GB2312" w:hAnsi="仿宋_GB2312" w:eastAsia="仿宋_GB2312" w:cs="仿宋_GB2312"/>
          <w:b/>
          <w:sz w:val="36"/>
        </w:rPr>
      </w:pPr>
      <w:r>
        <w:rPr>
          <w:rFonts w:hint="eastAsia" w:ascii="仿宋_GB2312" w:hAnsi="仿宋_GB2312" w:eastAsia="仿宋_GB2312" w:cs="仿宋_GB2312"/>
          <w:b/>
          <w:sz w:val="36"/>
        </w:rPr>
        <w:t xml:space="preserve">       日      期 ：</w:t>
      </w:r>
    </w:p>
    <w:p>
      <w:pPr>
        <w:pStyle w:val="30"/>
        <w:spacing w:line="360" w:lineRule="auto"/>
        <w:jc w:val="left"/>
        <w:rPr>
          <w:rFonts w:ascii="仿宋" w:hAnsi="仿宋" w:eastAsia="仿宋"/>
          <w:b/>
          <w:sz w:val="24"/>
        </w:rPr>
      </w:pPr>
    </w:p>
    <w:p>
      <w:pPr>
        <w:pStyle w:val="30"/>
        <w:spacing w:line="360" w:lineRule="auto"/>
        <w:jc w:val="left"/>
        <w:rPr>
          <w:rFonts w:ascii="仿宋" w:hAnsi="仿宋" w:eastAsia="仿宋"/>
          <w:b/>
          <w:sz w:val="24"/>
        </w:rPr>
      </w:pPr>
    </w:p>
    <w:p>
      <w:pPr>
        <w:pStyle w:val="6"/>
        <w:snapToGrid w:val="0"/>
        <w:spacing w:line="360" w:lineRule="auto"/>
        <w:ind w:left="0" w:firstLine="3855" w:firstLineChars="1200"/>
        <w:jc w:val="both"/>
        <w:rPr>
          <w:rFonts w:ascii="仿宋" w:hAnsi="仿宋" w:eastAsia="仿宋"/>
          <w:b/>
          <w:bCs/>
          <w:sz w:val="32"/>
          <w:lang w:eastAsia="zh-CN"/>
        </w:rPr>
      </w:pPr>
    </w:p>
    <w:p>
      <w:pPr>
        <w:pStyle w:val="6"/>
        <w:snapToGrid w:val="0"/>
        <w:spacing w:line="360" w:lineRule="auto"/>
        <w:ind w:left="0" w:firstLine="3855" w:firstLineChars="1200"/>
        <w:jc w:val="both"/>
        <w:rPr>
          <w:rFonts w:ascii="仿宋" w:hAnsi="仿宋" w:eastAsia="仿宋"/>
          <w:b/>
          <w:bCs/>
          <w:sz w:val="32"/>
          <w:lang w:eastAsia="zh-CN"/>
        </w:rPr>
      </w:pPr>
    </w:p>
    <w:p>
      <w:pPr>
        <w:pStyle w:val="6"/>
        <w:snapToGrid w:val="0"/>
        <w:spacing w:line="360" w:lineRule="auto"/>
        <w:ind w:left="0" w:firstLine="3855" w:firstLineChars="1200"/>
        <w:jc w:val="both"/>
        <w:rPr>
          <w:rFonts w:ascii="仿宋" w:hAnsi="仿宋" w:eastAsia="仿宋"/>
          <w:b/>
          <w:bCs/>
          <w:sz w:val="32"/>
          <w:lang w:eastAsia="zh-CN"/>
        </w:rPr>
      </w:pPr>
    </w:p>
    <w:p>
      <w:pPr>
        <w:pStyle w:val="6"/>
        <w:snapToGrid w:val="0"/>
        <w:spacing w:line="360" w:lineRule="auto"/>
        <w:ind w:left="0" w:firstLine="3855" w:firstLineChars="1200"/>
        <w:jc w:val="both"/>
        <w:rPr>
          <w:rFonts w:ascii="仿宋" w:hAnsi="仿宋" w:eastAsia="仿宋"/>
          <w:b/>
          <w:bCs/>
          <w:sz w:val="32"/>
          <w:lang w:eastAsia="zh-CN"/>
        </w:rPr>
      </w:pPr>
    </w:p>
    <w:p>
      <w:pPr>
        <w:pStyle w:val="6"/>
        <w:snapToGrid w:val="0"/>
        <w:spacing w:line="360" w:lineRule="auto"/>
        <w:ind w:left="0"/>
        <w:jc w:val="both"/>
        <w:rPr>
          <w:rFonts w:ascii="仿宋" w:hAnsi="仿宋" w:eastAsia="仿宋"/>
          <w:b/>
          <w:bCs/>
          <w:sz w:val="32"/>
          <w:lang w:eastAsia="zh-CN"/>
        </w:rPr>
      </w:pPr>
    </w:p>
    <w:p>
      <w:pPr>
        <w:pStyle w:val="6"/>
        <w:snapToGrid w:val="0"/>
        <w:spacing w:line="50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目    录</w:t>
      </w:r>
    </w:p>
    <w:p>
      <w:pPr>
        <w:spacing w:line="500" w:lineRule="exact"/>
        <w:rPr>
          <w:rFonts w:ascii="仿宋" w:hAnsi="仿宋" w:eastAsia="仿宋"/>
          <w:sz w:val="32"/>
          <w:szCs w:val="32"/>
        </w:rPr>
      </w:pP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投 标 书</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开标一览表</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价格明细表</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供货组织方案</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技术和商务偏离表</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6. 投标人承诺函</w:t>
      </w:r>
    </w:p>
    <w:p>
      <w:pPr>
        <w:spacing w:line="500" w:lineRule="exact"/>
        <w:ind w:left="320"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7.法人代表授权书</w:t>
      </w:r>
    </w:p>
    <w:p>
      <w:pPr>
        <w:spacing w:line="500" w:lineRule="exact"/>
        <w:ind w:left="320"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8.法人营业执照</w:t>
      </w:r>
    </w:p>
    <w:p>
      <w:pPr>
        <w:spacing w:line="500" w:lineRule="exact"/>
        <w:ind w:left="320"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廉洁承诺书</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投标人提交的其它资料</w:t>
      </w:r>
    </w:p>
    <w:p>
      <w:pPr>
        <w:spacing w:line="440" w:lineRule="exact"/>
        <w:rPr>
          <w:rFonts w:ascii="仿宋" w:hAnsi="仿宋" w:eastAsia="仿宋"/>
          <w:b/>
          <w:sz w:val="32"/>
          <w:szCs w:val="32"/>
        </w:rPr>
      </w:pPr>
    </w:p>
    <w:p>
      <w:pPr>
        <w:spacing w:line="440" w:lineRule="exact"/>
        <w:rPr>
          <w:rFonts w:ascii="仿宋" w:hAnsi="仿宋" w:eastAsia="仿宋"/>
          <w:b/>
          <w:sz w:val="32"/>
          <w:szCs w:val="32"/>
        </w:rPr>
      </w:pPr>
    </w:p>
    <w:p>
      <w:pPr>
        <w:spacing w:line="440" w:lineRule="exact"/>
        <w:rPr>
          <w:rFonts w:ascii="仿宋" w:hAnsi="仿宋" w:eastAsia="仿宋"/>
          <w:b/>
          <w:sz w:val="32"/>
          <w:szCs w:val="32"/>
        </w:rPr>
      </w:pPr>
      <w:r>
        <w:rPr>
          <w:rFonts w:ascii="仿宋" w:hAnsi="仿宋" w:eastAsia="仿宋"/>
          <w:b/>
          <w:sz w:val="32"/>
          <w:szCs w:val="32"/>
        </w:rPr>
        <w:t>说明：投标人应按投标文件的实际情况编制目录</w:t>
      </w:r>
    </w:p>
    <w:p>
      <w:pPr>
        <w:spacing w:line="500" w:lineRule="exact"/>
        <w:rPr>
          <w:rFonts w:ascii="仿宋" w:hAnsi="仿宋" w:eastAsia="仿宋"/>
          <w:b/>
          <w:sz w:val="32"/>
          <w:szCs w:val="32"/>
        </w:rPr>
      </w:pPr>
    </w:p>
    <w:p>
      <w:pPr>
        <w:spacing w:line="500" w:lineRule="exact"/>
        <w:rPr>
          <w:rFonts w:ascii="仿宋" w:hAnsi="仿宋" w:eastAsia="仿宋"/>
          <w:b/>
          <w:bCs/>
          <w:sz w:val="32"/>
          <w:szCs w:val="32"/>
        </w:rPr>
      </w:pPr>
      <w:r>
        <w:rPr>
          <w:rFonts w:ascii="仿宋" w:hAnsi="仿宋" w:eastAsia="仿宋"/>
          <w:sz w:val="32"/>
          <w:szCs w:val="32"/>
        </w:rPr>
        <w:br w:type="page"/>
      </w:r>
      <w:bookmarkStart w:id="139" w:name="_Toc186344305"/>
      <w:r>
        <w:rPr>
          <w:rFonts w:hint="eastAsia" w:ascii="仿宋" w:hAnsi="仿宋" w:eastAsia="仿宋"/>
          <w:b/>
          <w:bCs/>
          <w:sz w:val="32"/>
          <w:szCs w:val="32"/>
        </w:rPr>
        <w:t>格式1　　</w:t>
      </w:r>
    </w:p>
    <w:p>
      <w:pPr>
        <w:spacing w:line="500" w:lineRule="exact"/>
        <w:rPr>
          <w:rFonts w:ascii="仿宋" w:hAnsi="仿宋" w:eastAsia="仿宋"/>
          <w:b/>
          <w:bCs/>
          <w:sz w:val="32"/>
          <w:szCs w:val="32"/>
        </w:rPr>
      </w:pPr>
    </w:p>
    <w:p>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z w:val="44"/>
          <w:szCs w:val="44"/>
        </w:rPr>
        <w:t>投 标 书</w:t>
      </w:r>
      <w:bookmarkEnd w:id="139"/>
    </w:p>
    <w:p>
      <w:pPr>
        <w:spacing w:line="500" w:lineRule="exact"/>
        <w:rPr>
          <w:rFonts w:ascii="仿宋" w:hAnsi="仿宋" w:eastAsia="仿宋"/>
          <w:sz w:val="32"/>
          <w:szCs w:val="32"/>
        </w:rPr>
      </w:pP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厦门开元数字科技有限公司：</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根据贵方为 项目的投标要求（招标编号）: ，本签字代表</w:t>
      </w:r>
      <w:r>
        <w:rPr>
          <w:rFonts w:hint="eastAsia" w:ascii="仿宋_GB2312" w:hAnsi="仿宋_GB2312" w:eastAsia="仿宋_GB2312" w:cs="仿宋_GB2312"/>
          <w:sz w:val="32"/>
          <w:szCs w:val="32"/>
          <w:u w:val="single"/>
        </w:rPr>
        <w:t>（全名、职务）</w:t>
      </w:r>
      <w:r>
        <w:rPr>
          <w:rFonts w:hint="eastAsia" w:ascii="仿宋_GB2312" w:hAnsi="仿宋_GB2312" w:eastAsia="仿宋_GB2312" w:cs="仿宋_GB2312"/>
          <w:sz w:val="32"/>
          <w:szCs w:val="32"/>
        </w:rPr>
        <w:t>正式授权并代表投标人（投标人名称、地址）提交下述文件正本一份和副本一份。</w:t>
      </w:r>
    </w:p>
    <w:tbl>
      <w:tblPr>
        <w:tblStyle w:val="19"/>
        <w:tblW w:w="8928" w:type="dxa"/>
        <w:jc w:val="center"/>
        <w:tblInd w:w="0" w:type="dxa"/>
        <w:tblLayout w:type="fixed"/>
        <w:tblCellMar>
          <w:top w:w="0" w:type="dxa"/>
          <w:left w:w="108" w:type="dxa"/>
          <w:bottom w:w="0" w:type="dxa"/>
          <w:right w:w="108" w:type="dxa"/>
        </w:tblCellMar>
      </w:tblPr>
      <w:tblGrid>
        <w:gridCol w:w="4465"/>
        <w:gridCol w:w="4463"/>
      </w:tblGrid>
      <w:tr>
        <w:tblPrEx>
          <w:tblLayout w:type="fixed"/>
          <w:tblCellMar>
            <w:top w:w="0" w:type="dxa"/>
            <w:left w:w="108" w:type="dxa"/>
            <w:bottom w:w="0" w:type="dxa"/>
            <w:right w:w="108" w:type="dxa"/>
          </w:tblCellMar>
        </w:tblPrEx>
        <w:trPr>
          <w:trHeight w:val="454" w:hRule="atLeast"/>
          <w:jc w:val="center"/>
        </w:trPr>
        <w:tc>
          <w:tcPr>
            <w:tcW w:w="4465" w:type="dxa"/>
          </w:tcPr>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开标一览表</w:t>
            </w:r>
          </w:p>
        </w:tc>
        <w:tc>
          <w:tcPr>
            <w:tcW w:w="4463" w:type="dxa"/>
          </w:tcPr>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开标一览表</w:t>
            </w:r>
          </w:p>
        </w:tc>
      </w:tr>
      <w:tr>
        <w:tblPrEx>
          <w:tblLayout w:type="fixed"/>
          <w:tblCellMar>
            <w:top w:w="0" w:type="dxa"/>
            <w:left w:w="108" w:type="dxa"/>
            <w:bottom w:w="0" w:type="dxa"/>
            <w:right w:w="108" w:type="dxa"/>
          </w:tblCellMar>
        </w:tblPrEx>
        <w:trPr>
          <w:trHeight w:val="454" w:hRule="atLeast"/>
          <w:jc w:val="center"/>
        </w:trPr>
        <w:tc>
          <w:tcPr>
            <w:tcW w:w="4465" w:type="dxa"/>
          </w:tcPr>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价格明细表</w:t>
            </w:r>
          </w:p>
        </w:tc>
        <w:tc>
          <w:tcPr>
            <w:tcW w:w="4463" w:type="dxa"/>
          </w:tcPr>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供货组织方案</w:t>
            </w:r>
          </w:p>
        </w:tc>
      </w:tr>
      <w:tr>
        <w:tblPrEx>
          <w:tblLayout w:type="fixed"/>
          <w:tblCellMar>
            <w:top w:w="0" w:type="dxa"/>
            <w:left w:w="108" w:type="dxa"/>
            <w:bottom w:w="0" w:type="dxa"/>
            <w:right w:w="108" w:type="dxa"/>
          </w:tblCellMar>
        </w:tblPrEx>
        <w:trPr>
          <w:trHeight w:val="454" w:hRule="atLeast"/>
          <w:jc w:val="center"/>
        </w:trPr>
        <w:tc>
          <w:tcPr>
            <w:tcW w:w="4465" w:type="dxa"/>
          </w:tcPr>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技术和商务偏离表</w:t>
            </w:r>
          </w:p>
        </w:tc>
        <w:tc>
          <w:tcPr>
            <w:tcW w:w="4463" w:type="dxa"/>
          </w:tcPr>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法人代表授权书</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法人营业执照、税务登记证</w:t>
            </w:r>
          </w:p>
        </w:tc>
      </w:tr>
      <w:tr>
        <w:tblPrEx>
          <w:tblLayout w:type="fixed"/>
          <w:tblCellMar>
            <w:top w:w="0" w:type="dxa"/>
            <w:left w:w="108" w:type="dxa"/>
            <w:bottom w:w="0" w:type="dxa"/>
            <w:right w:w="108" w:type="dxa"/>
          </w:tblCellMar>
        </w:tblPrEx>
        <w:trPr>
          <w:trHeight w:val="454" w:hRule="atLeast"/>
          <w:jc w:val="center"/>
        </w:trPr>
        <w:tc>
          <w:tcPr>
            <w:tcW w:w="4465" w:type="dxa"/>
          </w:tcPr>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投标人</w:t>
            </w:r>
            <w:r>
              <w:rPr>
                <w:rFonts w:hint="eastAsia" w:ascii="仿宋_GB2312" w:hAnsi="仿宋_GB2312" w:eastAsia="仿宋_GB2312" w:cs="仿宋_GB2312"/>
                <w:bCs/>
                <w:sz w:val="32"/>
                <w:szCs w:val="32"/>
              </w:rPr>
              <w:t>提</w:t>
            </w:r>
            <w:r>
              <w:rPr>
                <w:rFonts w:hint="eastAsia" w:ascii="仿宋_GB2312" w:hAnsi="仿宋_GB2312" w:eastAsia="仿宋_GB2312" w:cs="仿宋_GB2312"/>
                <w:sz w:val="32"/>
                <w:szCs w:val="32"/>
              </w:rPr>
              <w:t>交的其它资料</w:t>
            </w:r>
          </w:p>
        </w:tc>
        <w:tc>
          <w:tcPr>
            <w:tcW w:w="4463" w:type="dxa"/>
          </w:tcPr>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(8)以 方式提供的金额为人民币元的投标保证金。</w:t>
            </w:r>
          </w:p>
        </w:tc>
      </w:tr>
    </w:tbl>
    <w:p>
      <w:pPr>
        <w:spacing w:line="50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据此函，签字代表宣布同意如下：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1.投标人已详细审查全部招标文件，包括修改文件（如有的话）和有关附件，将自行承担因对全部招标文件理解不正确或误解而产生的相应后果。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2.投标人保证遵守招标文件的全部规定，投标人所提交的材料中所含的信息均为真实、准确、完整，且不具有任何误导性。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3.投标人将按招标文件的规定履行合同责任和义务。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4.本投标文件自开标日起投标有效期为：在招标文件投标人须知前附表第3项所规定的期限内保持有效。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5.如果发生招标文件第二章投标人须知第12条所述情况，则同意招标人不予退还投标保证金。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6.投标人同意提供按照招标人可能要求的与其投标有关的一切数据或资料，完全理解贵方不一定要接受最低的报价或收到的任何投标。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与本投标有关的一切正式往来通讯请寄：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地址：  邮编：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电话：  传真：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投标人代表签字：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投标人（全称并加盖公章）：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pPr>
        <w:spacing w:line="500" w:lineRule="exact"/>
        <w:rPr>
          <w:rFonts w:ascii="仿宋" w:hAnsi="仿宋" w:eastAsia="仿宋"/>
          <w:b/>
          <w:bCs/>
          <w:sz w:val="32"/>
          <w:szCs w:val="32"/>
        </w:rPr>
      </w:pPr>
      <w:r>
        <w:rPr>
          <w:rFonts w:ascii="仿宋" w:hAnsi="仿宋" w:eastAsia="仿宋"/>
          <w:b/>
          <w:bCs/>
          <w:sz w:val="32"/>
          <w:szCs w:val="32"/>
        </w:rPr>
        <w:br w:type="page"/>
      </w:r>
      <w:r>
        <w:rPr>
          <w:rFonts w:hint="eastAsia" w:ascii="仿宋" w:hAnsi="仿宋" w:eastAsia="仿宋"/>
          <w:b/>
          <w:bCs/>
          <w:sz w:val="32"/>
          <w:szCs w:val="32"/>
        </w:rPr>
        <w:t>格式2　</w:t>
      </w:r>
    </w:p>
    <w:p>
      <w:pPr>
        <w:spacing w:line="500" w:lineRule="exact"/>
        <w:rPr>
          <w:rFonts w:ascii="仿宋" w:hAnsi="仿宋" w:eastAsia="仿宋"/>
          <w:b/>
          <w:bCs/>
          <w:sz w:val="32"/>
          <w:szCs w:val="32"/>
        </w:rPr>
      </w:pPr>
    </w:p>
    <w:p>
      <w:pPr>
        <w:spacing w:line="5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开标一览表</w:t>
      </w:r>
    </w:p>
    <w:p>
      <w:pPr>
        <w:pStyle w:val="8"/>
        <w:tabs>
          <w:tab w:val="left" w:pos="3996"/>
          <w:tab w:val="left" w:pos="8437"/>
        </w:tabs>
        <w:spacing w:line="500" w:lineRule="exact"/>
        <w:ind w:left="36"/>
        <w:rPr>
          <w:rFonts w:ascii="仿宋" w:hAnsi="仿宋" w:eastAsia="仿宋"/>
          <w:color w:val="auto"/>
          <w:sz w:val="32"/>
          <w:szCs w:val="32"/>
        </w:rPr>
      </w:pP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投标人全称（加盖公章）：</w:t>
      </w:r>
    </w:p>
    <w:p>
      <w:pPr>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招标项目：</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xml:space="preserve">　　　招标编号：  </w:t>
      </w:r>
    </w:p>
    <w:p>
      <w:pPr>
        <w:pStyle w:val="8"/>
        <w:tabs>
          <w:tab w:val="left" w:pos="3996"/>
          <w:tab w:val="left" w:pos="8437"/>
        </w:tabs>
        <w:spacing w:line="500" w:lineRule="exact"/>
        <w:ind w:left="36"/>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货币单位：</w:t>
      </w:r>
    </w:p>
    <w:p>
      <w:pPr>
        <w:spacing w:before="3" w:line="500" w:lineRule="exact"/>
        <w:rPr>
          <w:rFonts w:hint="eastAsia" w:ascii="仿宋_GB2312" w:hAnsi="仿宋_GB2312" w:eastAsia="仿宋_GB2312" w:cs="仿宋_GB2312"/>
          <w:sz w:val="32"/>
          <w:szCs w:val="32"/>
        </w:rPr>
      </w:pPr>
    </w:p>
    <w:tbl>
      <w:tblPr>
        <w:tblStyle w:val="19"/>
        <w:tblW w:w="8958" w:type="dxa"/>
        <w:tblInd w:w="121" w:type="dxa"/>
        <w:tblLayout w:type="fixed"/>
        <w:tblCellMar>
          <w:top w:w="0" w:type="dxa"/>
          <w:left w:w="0" w:type="dxa"/>
          <w:bottom w:w="0" w:type="dxa"/>
          <w:right w:w="0" w:type="dxa"/>
        </w:tblCellMar>
      </w:tblPr>
      <w:tblGrid>
        <w:gridCol w:w="1294"/>
        <w:gridCol w:w="893"/>
        <w:gridCol w:w="2269"/>
        <w:gridCol w:w="1184"/>
        <w:gridCol w:w="1713"/>
        <w:gridCol w:w="1605"/>
      </w:tblGrid>
      <w:tr>
        <w:tblPrEx>
          <w:tblLayout w:type="fixed"/>
          <w:tblCellMar>
            <w:top w:w="0" w:type="dxa"/>
            <w:left w:w="0" w:type="dxa"/>
            <w:bottom w:w="0" w:type="dxa"/>
            <w:right w:w="0" w:type="dxa"/>
          </w:tblCellMar>
        </w:tblPrEx>
        <w:trPr>
          <w:trHeight w:val="1442" w:hRule="exact"/>
        </w:trPr>
        <w:tc>
          <w:tcPr>
            <w:tcW w:w="1294" w:type="dxa"/>
            <w:tcBorders>
              <w:top w:val="single" w:color="000000" w:sz="4" w:space="0"/>
              <w:left w:val="single" w:color="000000" w:sz="4" w:space="0"/>
              <w:bottom w:val="single" w:color="000000" w:sz="4" w:space="0"/>
              <w:right w:val="single" w:color="000000" w:sz="4" w:space="0"/>
            </w:tcBorders>
            <w:vAlign w:val="center"/>
          </w:tcPr>
          <w:p>
            <w:pPr>
              <w:pStyle w:val="31"/>
              <w:spacing w:line="5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893" w:type="dxa"/>
            <w:tcBorders>
              <w:top w:val="single" w:color="000000" w:sz="4" w:space="0"/>
              <w:left w:val="single" w:color="000000" w:sz="4" w:space="0"/>
              <w:bottom w:val="single" w:color="000000" w:sz="4" w:space="0"/>
              <w:right w:val="single" w:color="000000" w:sz="4" w:space="0"/>
            </w:tcBorders>
            <w:vAlign w:val="center"/>
          </w:tcPr>
          <w:p>
            <w:pPr>
              <w:pStyle w:val="31"/>
              <w:spacing w:line="5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31"/>
              <w:spacing w:line="500" w:lineRule="exact"/>
              <w:ind w:right="102"/>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w:t>
            </w:r>
            <w:r>
              <w:rPr>
                <w:rFonts w:hint="eastAsia" w:ascii="仿宋_GB2312" w:hAnsi="仿宋_GB2312" w:eastAsia="仿宋_GB2312" w:cs="仿宋_GB2312"/>
                <w:spacing w:val="-96"/>
                <w:sz w:val="32"/>
                <w:szCs w:val="32"/>
              </w:rPr>
              <w:t>价</w:t>
            </w:r>
            <w:r>
              <w:rPr>
                <w:rFonts w:hint="eastAsia" w:ascii="仿宋_GB2312" w:hAnsi="仿宋_GB2312" w:eastAsia="仿宋_GB2312" w:cs="仿宋_GB2312"/>
                <w:sz w:val="32"/>
                <w:szCs w:val="32"/>
              </w:rPr>
              <w:t>（现场交货价）</w:t>
            </w:r>
          </w:p>
        </w:tc>
        <w:tc>
          <w:tcPr>
            <w:tcW w:w="1184" w:type="dxa"/>
            <w:tcBorders>
              <w:top w:val="single" w:color="000000" w:sz="4" w:space="0"/>
              <w:left w:val="single" w:color="000000" w:sz="4" w:space="0"/>
              <w:bottom w:val="single" w:color="000000" w:sz="4" w:space="0"/>
              <w:right w:val="single" w:color="000000" w:sz="4" w:space="0"/>
            </w:tcBorders>
            <w:vAlign w:val="center"/>
          </w:tcPr>
          <w:p>
            <w:pPr>
              <w:pStyle w:val="31"/>
              <w:spacing w:line="5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交货期</w:t>
            </w:r>
          </w:p>
        </w:tc>
        <w:tc>
          <w:tcPr>
            <w:tcW w:w="1713" w:type="dxa"/>
            <w:tcBorders>
              <w:top w:val="single" w:color="000000" w:sz="4" w:space="0"/>
              <w:left w:val="single" w:color="000000" w:sz="4" w:space="0"/>
              <w:bottom w:val="single" w:color="000000" w:sz="4" w:space="0"/>
              <w:right w:val="single" w:color="000000" w:sz="4" w:space="0"/>
            </w:tcBorders>
            <w:vAlign w:val="center"/>
          </w:tcPr>
          <w:p>
            <w:pPr>
              <w:pStyle w:val="31"/>
              <w:spacing w:line="500" w:lineRule="exact"/>
              <w:ind w:right="107"/>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w:t>
            </w:r>
          </w:p>
        </w:tc>
        <w:tc>
          <w:tcPr>
            <w:tcW w:w="1605" w:type="dxa"/>
            <w:tcBorders>
              <w:top w:val="single" w:color="000000" w:sz="4" w:space="0"/>
              <w:left w:val="single" w:color="000000" w:sz="4" w:space="0"/>
              <w:bottom w:val="single" w:color="000000" w:sz="4" w:space="0"/>
              <w:right w:val="single" w:color="000000" w:sz="4" w:space="0"/>
            </w:tcBorders>
            <w:vAlign w:val="center"/>
          </w:tcPr>
          <w:p>
            <w:pPr>
              <w:pStyle w:val="31"/>
              <w:spacing w:line="5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Layout w:type="fixed"/>
          <w:tblCellMar>
            <w:top w:w="0" w:type="dxa"/>
            <w:left w:w="0" w:type="dxa"/>
            <w:bottom w:w="0" w:type="dxa"/>
            <w:right w:w="0" w:type="dxa"/>
          </w:tblCellMar>
        </w:tblPrEx>
        <w:trPr>
          <w:trHeight w:val="1632" w:hRule="exact"/>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sz w:val="32"/>
                <w:szCs w:val="32"/>
              </w:rPr>
            </w:pPr>
          </w:p>
        </w:tc>
        <w:tc>
          <w:tcPr>
            <w:tcW w:w="893"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sz w:val="32"/>
                <w:szCs w:val="32"/>
              </w:rPr>
            </w:pPr>
          </w:p>
        </w:tc>
        <w:tc>
          <w:tcPr>
            <w:tcW w:w="2269"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sz w:val="32"/>
                <w:szCs w:val="32"/>
              </w:rPr>
            </w:pPr>
          </w:p>
        </w:tc>
        <w:tc>
          <w:tcPr>
            <w:tcW w:w="1184"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sz w:val="32"/>
                <w:szCs w:val="32"/>
              </w:rPr>
            </w:pPr>
          </w:p>
        </w:tc>
        <w:tc>
          <w:tcPr>
            <w:tcW w:w="1713"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sz w:val="32"/>
                <w:szCs w:val="32"/>
              </w:rPr>
            </w:pPr>
          </w:p>
        </w:tc>
        <w:tc>
          <w:tcPr>
            <w:tcW w:w="1605"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sz w:val="32"/>
                <w:szCs w:val="32"/>
              </w:rPr>
            </w:pPr>
          </w:p>
        </w:tc>
      </w:tr>
    </w:tbl>
    <w:p>
      <w:pPr>
        <w:pStyle w:val="8"/>
        <w:spacing w:line="500" w:lineRule="exact"/>
        <w:rPr>
          <w:rFonts w:hint="eastAsia" w:ascii="仿宋_GB2312" w:hAnsi="仿宋_GB2312" w:eastAsia="仿宋_GB2312" w:cs="仿宋_GB2312"/>
          <w:color w:val="auto"/>
          <w:sz w:val="32"/>
          <w:szCs w:val="32"/>
        </w:rPr>
      </w:pPr>
    </w:p>
    <w:p>
      <w:pPr>
        <w:pStyle w:val="8"/>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注：详细报价清单应另纸详列，且标明所报各种货物的数量、品名和金额。</w:t>
      </w:r>
    </w:p>
    <w:p>
      <w:pPr>
        <w:pStyle w:val="8"/>
        <w:tabs>
          <w:tab w:val="left" w:pos="4340"/>
        </w:tabs>
        <w:spacing w:before="25" w:line="500" w:lineRule="exact"/>
        <w:ind w:right="946"/>
        <w:rPr>
          <w:rFonts w:hint="eastAsia" w:ascii="仿宋_GB2312" w:hAnsi="仿宋_GB2312" w:eastAsia="仿宋_GB2312" w:cs="仿宋_GB2312"/>
          <w:color w:val="auto"/>
          <w:sz w:val="32"/>
          <w:szCs w:val="32"/>
        </w:rPr>
      </w:pPr>
    </w:p>
    <w:p>
      <w:pPr>
        <w:pStyle w:val="8"/>
        <w:tabs>
          <w:tab w:val="left" w:pos="4340"/>
        </w:tabs>
        <w:spacing w:before="25" w:line="500" w:lineRule="exact"/>
        <w:ind w:right="946"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投标人代表签字： </w:t>
      </w:r>
      <w:r>
        <w:rPr>
          <w:rFonts w:hint="eastAsia" w:ascii="仿宋_GB2312" w:hAnsi="仿宋_GB2312" w:eastAsia="仿宋_GB2312" w:cs="仿宋_GB2312"/>
          <w:color w:val="auto"/>
          <w:sz w:val="32"/>
          <w:szCs w:val="32"/>
        </w:rPr>
        <w:tab/>
      </w:r>
    </w:p>
    <w:p>
      <w:pPr>
        <w:pStyle w:val="8"/>
        <w:tabs>
          <w:tab w:val="left" w:pos="1100"/>
          <w:tab w:val="left" w:pos="2180"/>
          <w:tab w:val="left" w:pos="2900"/>
          <w:tab w:val="left" w:pos="3620"/>
        </w:tabs>
        <w:spacing w:before="6" w:line="500" w:lineRule="exact"/>
        <w:ind w:left="620"/>
        <w:rPr>
          <w:rFonts w:hint="eastAsia" w:ascii="仿宋_GB2312" w:hAnsi="仿宋_GB2312" w:eastAsia="仿宋_GB2312" w:cs="仿宋_GB2312"/>
          <w:color w:val="auto"/>
          <w:sz w:val="32"/>
          <w:szCs w:val="32"/>
        </w:rPr>
      </w:pPr>
    </w:p>
    <w:p>
      <w:pPr>
        <w:pStyle w:val="8"/>
        <w:tabs>
          <w:tab w:val="left" w:pos="1100"/>
          <w:tab w:val="left" w:pos="2180"/>
          <w:tab w:val="left" w:pos="2900"/>
          <w:tab w:val="left" w:pos="3620"/>
        </w:tabs>
        <w:spacing w:before="6" w:line="500" w:lineRule="exact"/>
        <w:ind w:left="620"/>
        <w:rPr>
          <w:rFonts w:hint="eastAsia" w:ascii="仿宋_GB2312" w:hAnsi="仿宋_GB2312" w:eastAsia="仿宋_GB2312" w:cs="仿宋_GB2312"/>
          <w:color w:val="auto"/>
          <w:sz w:val="32"/>
          <w:szCs w:val="32"/>
        </w:rPr>
      </w:pPr>
    </w:p>
    <w:p>
      <w:pPr>
        <w:pStyle w:val="8"/>
        <w:tabs>
          <w:tab w:val="left" w:pos="1100"/>
          <w:tab w:val="left" w:pos="2180"/>
          <w:tab w:val="left" w:pos="2900"/>
          <w:tab w:val="left" w:pos="3620"/>
        </w:tabs>
        <w:spacing w:before="6" w:line="500" w:lineRule="exact"/>
        <w:ind w:left="6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期：</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日</w:t>
      </w:r>
    </w:p>
    <w:p>
      <w:pPr>
        <w:spacing w:line="500" w:lineRule="exact"/>
        <w:rPr>
          <w:rFonts w:hint="eastAsia" w:ascii="仿宋_GB2312" w:hAnsi="仿宋_GB2312" w:eastAsia="仿宋_GB2312" w:cs="仿宋_GB2312"/>
          <w:sz w:val="32"/>
          <w:szCs w:val="32"/>
        </w:rPr>
        <w:sectPr>
          <w:footerReference r:id="rId4" w:type="default"/>
          <w:pgSz w:w="11907" w:h="16840"/>
          <w:pgMar w:top="1418" w:right="1418" w:bottom="1418" w:left="1418" w:header="857" w:footer="999" w:gutter="0"/>
          <w:cols w:space="720" w:num="1"/>
          <w:docGrid w:linePitch="286" w:charSpace="0"/>
        </w:sectPr>
      </w:pPr>
    </w:p>
    <w:p>
      <w:pPr>
        <w:spacing w:line="500" w:lineRule="exact"/>
        <w:rPr>
          <w:rFonts w:ascii="仿宋" w:hAnsi="仿宋" w:eastAsia="仿宋"/>
          <w:b/>
          <w:bCs/>
          <w:sz w:val="32"/>
          <w:szCs w:val="32"/>
        </w:rPr>
      </w:pPr>
      <w:bookmarkStart w:id="140" w:name="_bookmark30"/>
      <w:bookmarkEnd w:id="140"/>
      <w:r>
        <w:rPr>
          <w:rFonts w:hint="eastAsia" w:ascii="仿宋" w:hAnsi="仿宋" w:eastAsia="仿宋"/>
          <w:b/>
          <w:bCs/>
          <w:sz w:val="32"/>
          <w:szCs w:val="32"/>
        </w:rPr>
        <w:t>格式3</w:t>
      </w:r>
    </w:p>
    <w:p>
      <w:pPr>
        <w:spacing w:line="500" w:lineRule="exact"/>
        <w:rPr>
          <w:rFonts w:ascii="仿宋" w:hAnsi="仿宋" w:eastAsia="仿宋"/>
          <w:b/>
          <w:bCs/>
          <w:sz w:val="32"/>
          <w:szCs w:val="32"/>
        </w:rPr>
      </w:pPr>
    </w:p>
    <w:p>
      <w:pPr>
        <w:spacing w:line="500" w:lineRule="exact"/>
        <w:jc w:val="center"/>
        <w:rPr>
          <w:rFonts w:ascii="仿宋" w:hAnsi="仿宋" w:eastAsia="仿宋"/>
          <w:b/>
          <w:bCs/>
          <w:sz w:val="32"/>
          <w:szCs w:val="32"/>
        </w:rPr>
      </w:pPr>
      <w:r>
        <w:rPr>
          <w:rFonts w:hint="eastAsia" w:ascii="方正小标宋简体" w:hAnsi="方正小标宋简体" w:eastAsia="方正小标宋简体" w:cs="方正小标宋简体"/>
          <w:b w:val="0"/>
          <w:bCs w:val="0"/>
          <w:sz w:val="44"/>
          <w:szCs w:val="44"/>
        </w:rPr>
        <w:t>价格明细表</w:t>
      </w:r>
    </w:p>
    <w:p>
      <w:pPr>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投标人全称(加盖公章)：</w:t>
      </w:r>
      <w:r>
        <w:rPr>
          <w:rFonts w:hint="eastAsia" w:ascii="仿宋_GB2312" w:hAnsi="仿宋_GB2312" w:eastAsia="仿宋_GB2312" w:cs="仿宋_GB2312"/>
          <w:sz w:val="32"/>
          <w:szCs w:val="32"/>
          <w:u w:val="single"/>
        </w:rPr>
        <w:t>　　　　　　　　　　　　</w:t>
      </w:r>
    </w:p>
    <w:p>
      <w:pPr>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招标项目：</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招标编号：</w:t>
      </w:r>
      <w:r>
        <w:rPr>
          <w:rFonts w:hint="eastAsia" w:ascii="仿宋_GB2312" w:hAnsi="仿宋_GB2312" w:eastAsia="仿宋_GB2312" w:cs="仿宋_GB2312"/>
          <w:sz w:val="32"/>
          <w:szCs w:val="32"/>
          <w:u w:val="single"/>
        </w:rPr>
        <w:t>　　　　　　　　　　　　</w:t>
      </w:r>
    </w:p>
    <w:p>
      <w:pPr>
        <w:spacing w:before="2" w:line="500" w:lineRule="exact"/>
        <w:rPr>
          <w:rFonts w:hint="eastAsia" w:ascii="仿宋_GB2312" w:hAnsi="仿宋_GB2312" w:eastAsia="仿宋_GB2312" w:cs="仿宋_GB2312"/>
          <w:sz w:val="32"/>
          <w:szCs w:val="32"/>
        </w:rPr>
      </w:pPr>
    </w:p>
    <w:p>
      <w:pPr>
        <w:pStyle w:val="8"/>
        <w:tabs>
          <w:tab w:val="left" w:pos="4340"/>
          <w:tab w:val="left" w:pos="7101"/>
        </w:tabs>
        <w:spacing w:line="500" w:lineRule="exac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货币单位：</w:t>
      </w:r>
    </w:p>
    <w:p>
      <w:pPr>
        <w:spacing w:before="3" w:line="500" w:lineRule="exact"/>
        <w:rPr>
          <w:rFonts w:hint="eastAsia" w:ascii="仿宋_GB2312" w:hAnsi="仿宋_GB2312" w:eastAsia="仿宋_GB2312" w:cs="仿宋_GB2312"/>
          <w:sz w:val="32"/>
          <w:szCs w:val="32"/>
        </w:rPr>
      </w:pPr>
    </w:p>
    <w:tbl>
      <w:tblPr>
        <w:tblStyle w:val="19"/>
        <w:tblW w:w="9539" w:type="dxa"/>
        <w:jc w:val="center"/>
        <w:tblInd w:w="0" w:type="dxa"/>
        <w:tblLayout w:type="fixed"/>
        <w:tblCellMar>
          <w:top w:w="0" w:type="dxa"/>
          <w:left w:w="0" w:type="dxa"/>
          <w:bottom w:w="0" w:type="dxa"/>
          <w:right w:w="0" w:type="dxa"/>
        </w:tblCellMar>
      </w:tblPr>
      <w:tblGrid>
        <w:gridCol w:w="2309"/>
        <w:gridCol w:w="1419"/>
        <w:gridCol w:w="1558"/>
        <w:gridCol w:w="1094"/>
        <w:gridCol w:w="1133"/>
        <w:gridCol w:w="991"/>
        <w:gridCol w:w="1035"/>
      </w:tblGrid>
      <w:tr>
        <w:tblPrEx>
          <w:tblLayout w:type="fixed"/>
          <w:tblCellMar>
            <w:top w:w="0" w:type="dxa"/>
            <w:left w:w="0" w:type="dxa"/>
            <w:bottom w:w="0" w:type="dxa"/>
            <w:right w:w="0" w:type="dxa"/>
          </w:tblCellMar>
        </w:tblPrEx>
        <w:trPr>
          <w:trHeight w:val="478" w:hRule="exact"/>
          <w:jc w:val="center"/>
        </w:trPr>
        <w:tc>
          <w:tcPr>
            <w:tcW w:w="2309" w:type="dxa"/>
            <w:tcBorders>
              <w:top w:val="single" w:color="000000" w:sz="4" w:space="0"/>
              <w:left w:val="single" w:color="000000" w:sz="4" w:space="0"/>
              <w:bottom w:val="single" w:color="000000" w:sz="4" w:space="0"/>
              <w:right w:val="single" w:color="000000" w:sz="4" w:space="0"/>
            </w:tcBorders>
          </w:tcPr>
          <w:p>
            <w:pPr>
              <w:pStyle w:val="31"/>
              <w:spacing w:line="5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1419" w:type="dxa"/>
            <w:tcBorders>
              <w:top w:val="single" w:color="000000" w:sz="4" w:space="0"/>
              <w:left w:val="single" w:color="000000" w:sz="4" w:space="0"/>
              <w:bottom w:val="single" w:color="000000" w:sz="4" w:space="0"/>
              <w:right w:val="single" w:color="000000" w:sz="4" w:space="0"/>
            </w:tcBorders>
          </w:tcPr>
          <w:p>
            <w:pPr>
              <w:pStyle w:val="31"/>
              <w:spacing w:line="5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558" w:type="dxa"/>
            <w:tcBorders>
              <w:top w:val="single" w:color="000000" w:sz="4" w:space="0"/>
              <w:left w:val="single" w:color="000000" w:sz="4" w:space="0"/>
              <w:bottom w:val="single" w:color="000000" w:sz="4" w:space="0"/>
              <w:right w:val="single" w:color="000000" w:sz="4" w:space="0"/>
            </w:tcBorders>
          </w:tcPr>
          <w:p>
            <w:pPr>
              <w:pStyle w:val="31"/>
              <w:spacing w:line="5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设备名称</w:t>
            </w:r>
          </w:p>
        </w:tc>
        <w:tc>
          <w:tcPr>
            <w:tcW w:w="1094" w:type="dxa"/>
            <w:tcBorders>
              <w:top w:val="single" w:color="000000" w:sz="4" w:space="0"/>
              <w:left w:val="single" w:color="000000" w:sz="4" w:space="0"/>
              <w:bottom w:val="single" w:color="000000" w:sz="4" w:space="0"/>
              <w:right w:val="single" w:color="000000" w:sz="4" w:space="0"/>
            </w:tcBorders>
          </w:tcPr>
          <w:p>
            <w:pPr>
              <w:pStyle w:val="31"/>
              <w:spacing w:line="5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1133" w:type="dxa"/>
            <w:tcBorders>
              <w:top w:val="single" w:color="000000" w:sz="4" w:space="0"/>
              <w:left w:val="single" w:color="000000" w:sz="4" w:space="0"/>
              <w:bottom w:val="single" w:color="000000" w:sz="4" w:space="0"/>
              <w:right w:val="single" w:color="000000" w:sz="4" w:space="0"/>
            </w:tcBorders>
          </w:tcPr>
          <w:p>
            <w:pPr>
              <w:pStyle w:val="31"/>
              <w:spacing w:line="5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991" w:type="dxa"/>
            <w:tcBorders>
              <w:top w:val="single" w:color="000000" w:sz="4" w:space="0"/>
              <w:left w:val="single" w:color="000000" w:sz="4" w:space="0"/>
              <w:bottom w:val="single" w:color="000000" w:sz="4" w:space="0"/>
              <w:right w:val="single" w:color="000000" w:sz="4" w:space="0"/>
            </w:tcBorders>
          </w:tcPr>
          <w:p>
            <w:pPr>
              <w:pStyle w:val="31"/>
              <w:spacing w:line="5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单价</w:t>
            </w:r>
          </w:p>
        </w:tc>
        <w:tc>
          <w:tcPr>
            <w:tcW w:w="1035" w:type="dxa"/>
            <w:tcBorders>
              <w:top w:val="single" w:color="000000" w:sz="4" w:space="0"/>
              <w:left w:val="single" w:color="000000" w:sz="4" w:space="0"/>
              <w:bottom w:val="single" w:color="000000" w:sz="4" w:space="0"/>
              <w:right w:val="single" w:color="000000" w:sz="4" w:space="0"/>
            </w:tcBorders>
          </w:tcPr>
          <w:p>
            <w:pPr>
              <w:pStyle w:val="31"/>
              <w:spacing w:line="5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总价</w:t>
            </w:r>
          </w:p>
        </w:tc>
      </w:tr>
      <w:tr>
        <w:tblPrEx>
          <w:tblLayout w:type="fixed"/>
          <w:tblCellMar>
            <w:top w:w="0" w:type="dxa"/>
            <w:left w:w="0" w:type="dxa"/>
            <w:bottom w:w="0" w:type="dxa"/>
            <w:right w:w="0" w:type="dxa"/>
          </w:tblCellMar>
        </w:tblPrEx>
        <w:trPr>
          <w:trHeight w:val="475" w:hRule="exact"/>
          <w:jc w:val="center"/>
        </w:trPr>
        <w:tc>
          <w:tcPr>
            <w:tcW w:w="2309" w:type="dxa"/>
            <w:vMerge w:val="restart"/>
            <w:tcBorders>
              <w:top w:val="single" w:color="000000" w:sz="4" w:space="0"/>
              <w:left w:val="single" w:color="000000" w:sz="4" w:space="0"/>
              <w:right w:val="single" w:color="000000" w:sz="4" w:space="0"/>
            </w:tcBorders>
          </w:tcPr>
          <w:p>
            <w:pPr>
              <w:spacing w:line="500" w:lineRule="exact"/>
              <w:rPr>
                <w:rFonts w:hint="eastAsia" w:ascii="仿宋_GB2312" w:hAnsi="仿宋_GB2312" w:eastAsia="仿宋_GB2312" w:cs="仿宋_GB2312"/>
                <w:sz w:val="32"/>
                <w:szCs w:val="32"/>
              </w:rPr>
            </w:pPr>
          </w:p>
        </w:tc>
        <w:tc>
          <w:tcPr>
            <w:tcW w:w="1419" w:type="dxa"/>
            <w:tcBorders>
              <w:top w:val="single" w:color="000000" w:sz="4" w:space="0"/>
              <w:left w:val="single" w:color="000000" w:sz="4" w:space="0"/>
              <w:bottom w:val="single" w:color="000000" w:sz="4" w:space="0"/>
              <w:right w:val="single" w:color="000000" w:sz="4" w:space="0"/>
            </w:tcBorders>
          </w:tcPr>
          <w:p>
            <w:pPr>
              <w:pStyle w:val="31"/>
              <w:spacing w:line="500" w:lineRule="exact"/>
              <w:ind w:left="563" w:right="564"/>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58"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_GB2312" w:hAnsi="仿宋_GB2312" w:eastAsia="仿宋_GB2312" w:cs="仿宋_GB2312"/>
                <w:sz w:val="32"/>
                <w:szCs w:val="32"/>
              </w:rPr>
            </w:pPr>
          </w:p>
        </w:tc>
        <w:tc>
          <w:tcPr>
            <w:tcW w:w="1094"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_GB2312" w:hAnsi="仿宋_GB2312" w:eastAsia="仿宋_GB2312" w:cs="仿宋_GB2312"/>
                <w:sz w:val="32"/>
                <w:szCs w:val="32"/>
              </w:rPr>
            </w:pPr>
          </w:p>
        </w:tc>
        <w:tc>
          <w:tcPr>
            <w:tcW w:w="1133"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_GB2312" w:hAnsi="仿宋_GB2312" w:eastAsia="仿宋_GB2312" w:cs="仿宋_GB2312"/>
                <w:sz w:val="32"/>
                <w:szCs w:val="32"/>
              </w:rPr>
            </w:pPr>
          </w:p>
        </w:tc>
        <w:tc>
          <w:tcPr>
            <w:tcW w:w="991"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_GB2312" w:hAnsi="仿宋_GB2312" w:eastAsia="仿宋_GB2312" w:cs="仿宋_GB2312"/>
                <w:sz w:val="32"/>
                <w:szCs w:val="32"/>
              </w:rPr>
            </w:pPr>
          </w:p>
        </w:tc>
        <w:tc>
          <w:tcPr>
            <w:tcW w:w="1035"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_GB2312" w:hAnsi="仿宋_GB2312" w:eastAsia="仿宋_GB2312" w:cs="仿宋_GB2312"/>
                <w:sz w:val="32"/>
                <w:szCs w:val="32"/>
              </w:rPr>
            </w:pPr>
          </w:p>
        </w:tc>
      </w:tr>
      <w:tr>
        <w:tblPrEx>
          <w:tblLayout w:type="fixed"/>
          <w:tblCellMar>
            <w:top w:w="0" w:type="dxa"/>
            <w:left w:w="0" w:type="dxa"/>
            <w:bottom w:w="0" w:type="dxa"/>
            <w:right w:w="0" w:type="dxa"/>
          </w:tblCellMar>
        </w:tblPrEx>
        <w:trPr>
          <w:trHeight w:val="478" w:hRule="exact"/>
          <w:jc w:val="center"/>
        </w:trPr>
        <w:tc>
          <w:tcPr>
            <w:tcW w:w="2309" w:type="dxa"/>
            <w:vMerge w:val="continue"/>
            <w:tcBorders>
              <w:left w:val="single" w:color="000000" w:sz="4" w:space="0"/>
              <w:right w:val="single" w:color="000000" w:sz="4" w:space="0"/>
            </w:tcBorders>
          </w:tcPr>
          <w:p>
            <w:pPr>
              <w:spacing w:line="500" w:lineRule="exact"/>
              <w:rPr>
                <w:rFonts w:hint="eastAsia" w:ascii="仿宋_GB2312" w:hAnsi="仿宋_GB2312" w:eastAsia="仿宋_GB2312" w:cs="仿宋_GB2312"/>
                <w:sz w:val="32"/>
                <w:szCs w:val="32"/>
              </w:rPr>
            </w:pPr>
          </w:p>
        </w:tc>
        <w:tc>
          <w:tcPr>
            <w:tcW w:w="1419" w:type="dxa"/>
            <w:tcBorders>
              <w:top w:val="single" w:color="000000" w:sz="4" w:space="0"/>
              <w:left w:val="single" w:color="000000" w:sz="4" w:space="0"/>
              <w:bottom w:val="single" w:color="000000" w:sz="4" w:space="0"/>
              <w:right w:val="single" w:color="000000" w:sz="4" w:space="0"/>
            </w:tcBorders>
          </w:tcPr>
          <w:p>
            <w:pPr>
              <w:pStyle w:val="31"/>
              <w:spacing w:line="500" w:lineRule="exact"/>
              <w:ind w:left="563" w:right="564"/>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558"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_GB2312" w:hAnsi="仿宋_GB2312" w:eastAsia="仿宋_GB2312" w:cs="仿宋_GB2312"/>
                <w:sz w:val="32"/>
                <w:szCs w:val="32"/>
              </w:rPr>
            </w:pPr>
          </w:p>
        </w:tc>
        <w:tc>
          <w:tcPr>
            <w:tcW w:w="1094"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_GB2312" w:hAnsi="仿宋_GB2312" w:eastAsia="仿宋_GB2312" w:cs="仿宋_GB2312"/>
                <w:sz w:val="32"/>
                <w:szCs w:val="32"/>
              </w:rPr>
            </w:pPr>
          </w:p>
        </w:tc>
        <w:tc>
          <w:tcPr>
            <w:tcW w:w="1133"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_GB2312" w:hAnsi="仿宋_GB2312" w:eastAsia="仿宋_GB2312" w:cs="仿宋_GB2312"/>
                <w:sz w:val="32"/>
                <w:szCs w:val="32"/>
              </w:rPr>
            </w:pPr>
          </w:p>
        </w:tc>
        <w:tc>
          <w:tcPr>
            <w:tcW w:w="991"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_GB2312" w:hAnsi="仿宋_GB2312" w:eastAsia="仿宋_GB2312" w:cs="仿宋_GB2312"/>
                <w:sz w:val="32"/>
                <w:szCs w:val="32"/>
              </w:rPr>
            </w:pPr>
          </w:p>
        </w:tc>
        <w:tc>
          <w:tcPr>
            <w:tcW w:w="1035"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_GB2312" w:hAnsi="仿宋_GB2312" w:eastAsia="仿宋_GB2312" w:cs="仿宋_GB2312"/>
                <w:sz w:val="32"/>
                <w:szCs w:val="32"/>
              </w:rPr>
            </w:pPr>
          </w:p>
        </w:tc>
      </w:tr>
      <w:tr>
        <w:tblPrEx>
          <w:tblLayout w:type="fixed"/>
          <w:tblCellMar>
            <w:top w:w="0" w:type="dxa"/>
            <w:left w:w="0" w:type="dxa"/>
            <w:bottom w:w="0" w:type="dxa"/>
            <w:right w:w="0" w:type="dxa"/>
          </w:tblCellMar>
        </w:tblPrEx>
        <w:trPr>
          <w:trHeight w:val="478" w:hRule="exact"/>
          <w:jc w:val="center"/>
        </w:trPr>
        <w:tc>
          <w:tcPr>
            <w:tcW w:w="2309" w:type="dxa"/>
            <w:vMerge w:val="continue"/>
            <w:tcBorders>
              <w:left w:val="single" w:color="000000" w:sz="4" w:space="0"/>
              <w:bottom w:val="single" w:color="000000" w:sz="4" w:space="0"/>
              <w:right w:val="single" w:color="000000" w:sz="4" w:space="0"/>
            </w:tcBorders>
          </w:tcPr>
          <w:p>
            <w:pPr>
              <w:spacing w:line="500" w:lineRule="exact"/>
              <w:rPr>
                <w:rFonts w:hint="eastAsia" w:ascii="仿宋_GB2312" w:hAnsi="仿宋_GB2312" w:eastAsia="仿宋_GB2312" w:cs="仿宋_GB2312"/>
                <w:sz w:val="32"/>
                <w:szCs w:val="32"/>
              </w:rPr>
            </w:pPr>
          </w:p>
        </w:tc>
        <w:tc>
          <w:tcPr>
            <w:tcW w:w="7230" w:type="dxa"/>
            <w:gridSpan w:val="6"/>
            <w:tcBorders>
              <w:top w:val="single" w:color="000000" w:sz="4" w:space="0"/>
              <w:left w:val="single" w:color="000000" w:sz="4" w:space="0"/>
              <w:bottom w:val="single" w:color="000000" w:sz="4" w:space="0"/>
              <w:right w:val="single" w:color="000000" w:sz="4" w:space="0"/>
            </w:tcBorders>
          </w:tcPr>
          <w:p>
            <w:pPr>
              <w:pStyle w:val="31"/>
              <w:spacing w:line="500" w:lineRule="exact"/>
              <w:ind w:left="23"/>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小计：</w:t>
            </w:r>
          </w:p>
        </w:tc>
      </w:tr>
      <w:tr>
        <w:tblPrEx>
          <w:tblLayout w:type="fixed"/>
          <w:tblCellMar>
            <w:top w:w="0" w:type="dxa"/>
            <w:left w:w="0" w:type="dxa"/>
            <w:bottom w:w="0" w:type="dxa"/>
            <w:right w:w="0" w:type="dxa"/>
          </w:tblCellMar>
        </w:tblPrEx>
        <w:trPr>
          <w:trHeight w:val="475" w:hRule="exact"/>
          <w:jc w:val="center"/>
        </w:trPr>
        <w:tc>
          <w:tcPr>
            <w:tcW w:w="2309" w:type="dxa"/>
            <w:tcBorders>
              <w:top w:val="single" w:color="000000" w:sz="4" w:space="0"/>
              <w:left w:val="single" w:color="000000" w:sz="4" w:space="0"/>
              <w:bottom w:val="single" w:color="000000" w:sz="4" w:space="0"/>
              <w:right w:val="single" w:color="000000" w:sz="4" w:space="0"/>
            </w:tcBorders>
          </w:tcPr>
          <w:p>
            <w:pPr>
              <w:pStyle w:val="31"/>
              <w:spacing w:line="500" w:lineRule="exact"/>
              <w:ind w:left="668"/>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投标总价</w:t>
            </w:r>
          </w:p>
        </w:tc>
        <w:tc>
          <w:tcPr>
            <w:tcW w:w="7230" w:type="dxa"/>
            <w:gridSpan w:val="6"/>
            <w:tcBorders>
              <w:top w:val="single" w:color="000000" w:sz="4" w:space="0"/>
              <w:left w:val="single" w:color="000000" w:sz="4" w:space="0"/>
              <w:bottom w:val="single" w:color="000000" w:sz="4" w:space="0"/>
              <w:right w:val="single" w:color="000000" w:sz="4" w:space="0"/>
            </w:tcBorders>
          </w:tcPr>
          <w:p>
            <w:pPr>
              <w:pStyle w:val="31"/>
              <w:tabs>
                <w:tab w:val="left" w:pos="5710"/>
              </w:tabs>
              <w:spacing w:line="500" w:lineRule="exact"/>
              <w:ind w:left="549"/>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小写：￥</w:t>
            </w:r>
          </w:p>
        </w:tc>
      </w:tr>
    </w:tbl>
    <w:p>
      <w:pPr>
        <w:pStyle w:val="8"/>
        <w:spacing w:line="500" w:lineRule="exact"/>
        <w:ind w:left="500"/>
        <w:rPr>
          <w:rFonts w:hint="eastAsia" w:ascii="仿宋_GB2312" w:hAnsi="仿宋_GB2312" w:eastAsia="仿宋_GB2312" w:cs="仿宋_GB2312"/>
          <w:color w:val="auto"/>
          <w:sz w:val="32"/>
          <w:szCs w:val="32"/>
        </w:rPr>
      </w:pPr>
    </w:p>
    <w:p>
      <w:pPr>
        <w:pStyle w:val="8"/>
        <w:keepNext w:val="0"/>
        <w:keepLines w:val="0"/>
        <w:pageBreakBefore w:val="0"/>
        <w:widowControl w:val="0"/>
        <w:kinsoku/>
        <w:wordWrap/>
        <w:overflowPunct/>
        <w:topLinePunct w:val="0"/>
        <w:autoSpaceDE/>
        <w:autoSpaceDN/>
        <w:bidi w:val="0"/>
        <w:adjustRightInd/>
        <w:snapToGrid/>
        <w:spacing w:line="560" w:lineRule="exact"/>
        <w:ind w:left="960" w:hanging="960" w:hanging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注:1、各分项目设备内容参照本表格式填报，具体分项目设备内容清单详见招标文件招标货物一览表。</w:t>
      </w:r>
    </w:p>
    <w:p>
      <w:pPr>
        <w:pStyle w:val="8"/>
        <w:keepNext w:val="0"/>
        <w:keepLines w:val="0"/>
        <w:pageBreakBefore w:val="0"/>
        <w:widowControl w:val="0"/>
        <w:tabs>
          <w:tab w:val="left" w:pos="3620"/>
        </w:tabs>
        <w:kinsoku/>
        <w:wordWrap/>
        <w:overflowPunct/>
        <w:topLinePunct w:val="0"/>
        <w:autoSpaceDE/>
        <w:autoSpaceDN/>
        <w:bidi w:val="0"/>
        <w:adjustRightInd/>
        <w:snapToGrid/>
        <w:spacing w:line="560" w:lineRule="exact"/>
        <w:ind w:right="139"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2．若未详细分项报价将被视为没有实质性响招标文件。 </w:t>
      </w:r>
    </w:p>
    <w:p>
      <w:pPr>
        <w:pStyle w:val="8"/>
        <w:keepNext w:val="0"/>
        <w:keepLines w:val="0"/>
        <w:pageBreakBefore w:val="0"/>
        <w:widowControl w:val="0"/>
        <w:tabs>
          <w:tab w:val="left" w:pos="3620"/>
        </w:tabs>
        <w:kinsoku/>
        <w:wordWrap/>
        <w:overflowPunct/>
        <w:topLinePunct w:val="0"/>
        <w:autoSpaceDE/>
        <w:autoSpaceDN/>
        <w:bidi w:val="0"/>
        <w:adjustRightInd/>
        <w:snapToGrid/>
        <w:spacing w:line="560" w:lineRule="exact"/>
        <w:ind w:right="139"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投标人代表签名： </w:t>
      </w:r>
      <w:r>
        <w:rPr>
          <w:rFonts w:hint="eastAsia" w:ascii="仿宋_GB2312" w:hAnsi="仿宋_GB2312" w:eastAsia="仿宋_GB2312" w:cs="仿宋_GB2312"/>
          <w:color w:val="auto"/>
          <w:sz w:val="32"/>
          <w:szCs w:val="32"/>
        </w:rPr>
        <w:tab/>
      </w:r>
    </w:p>
    <w:p>
      <w:pPr>
        <w:pStyle w:val="8"/>
        <w:keepNext w:val="0"/>
        <w:keepLines w:val="0"/>
        <w:pageBreakBefore w:val="0"/>
        <w:widowControl w:val="0"/>
        <w:tabs>
          <w:tab w:val="left" w:pos="620"/>
          <w:tab w:val="left" w:pos="1700"/>
          <w:tab w:val="left" w:pos="2420"/>
          <w:tab w:val="left" w:pos="3140"/>
        </w:tabs>
        <w:kinsoku/>
        <w:wordWrap/>
        <w:overflowPunct/>
        <w:topLinePunct w:val="0"/>
        <w:autoSpaceDE/>
        <w:autoSpaceDN/>
        <w:bidi w:val="0"/>
        <w:adjustRightInd/>
        <w:snapToGrid/>
        <w:spacing w:before="36"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期：</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日</w:t>
      </w:r>
    </w:p>
    <w:p>
      <w:pPr>
        <w:spacing w:line="500" w:lineRule="exact"/>
        <w:rPr>
          <w:rFonts w:hint="eastAsia" w:ascii="仿宋_GB2312" w:hAnsi="仿宋_GB2312" w:eastAsia="仿宋_GB2312" w:cs="仿宋_GB2312"/>
          <w:sz w:val="32"/>
          <w:szCs w:val="32"/>
        </w:rPr>
      </w:pPr>
    </w:p>
    <w:p>
      <w:pPr>
        <w:snapToGrid w:val="0"/>
        <w:spacing w:line="500" w:lineRule="exact"/>
        <w:rPr>
          <w:rFonts w:ascii="仿宋" w:hAnsi="仿宋" w:eastAsia="仿宋"/>
          <w:sz w:val="32"/>
          <w:szCs w:val="32"/>
          <w:u w:val="single"/>
        </w:rPr>
      </w:pPr>
    </w:p>
    <w:p>
      <w:pPr>
        <w:snapToGrid w:val="0"/>
        <w:spacing w:line="500" w:lineRule="exact"/>
        <w:jc w:val="both"/>
        <w:rPr>
          <w:rFonts w:ascii="仿宋" w:hAnsi="仿宋" w:eastAsia="仿宋"/>
          <w:sz w:val="32"/>
          <w:szCs w:val="32"/>
        </w:rPr>
      </w:pPr>
      <w:r>
        <w:rPr>
          <w:rFonts w:ascii="仿宋" w:hAnsi="仿宋" w:eastAsia="仿宋"/>
          <w:b/>
          <w:bCs/>
          <w:sz w:val="32"/>
          <w:szCs w:val="32"/>
        </w:rPr>
        <w:br w:type="page"/>
      </w:r>
      <w:r>
        <w:rPr>
          <w:rFonts w:hint="eastAsia" w:ascii="仿宋" w:hAnsi="仿宋" w:eastAsia="仿宋"/>
          <w:b/>
          <w:bCs/>
          <w:sz w:val="32"/>
          <w:szCs w:val="32"/>
        </w:rPr>
        <w:t xml:space="preserve">格式4 </w:t>
      </w:r>
      <w:r>
        <w:rPr>
          <w:rFonts w:hint="eastAsia" w:ascii="方正小标宋简体" w:hAnsi="方正小标宋简体" w:eastAsia="方正小标宋简体" w:cs="方正小标宋简体"/>
          <w:b w:val="0"/>
          <w:bCs w:val="0"/>
          <w:sz w:val="44"/>
          <w:szCs w:val="44"/>
        </w:rPr>
        <w:t>货物说明一览表</w:t>
      </w:r>
      <w:r>
        <w:rPr>
          <w:rFonts w:hint="eastAsia" w:ascii="方正小标宋简体" w:hAnsi="方正小标宋简体" w:eastAsia="方正小标宋简体" w:cs="方正小标宋简体"/>
          <w:b w:val="0"/>
          <w:bCs w:val="0"/>
          <w:sz w:val="44"/>
          <w:szCs w:val="44"/>
        </w:rPr>
        <w:cr/>
      </w:r>
    </w:p>
    <w:tbl>
      <w:tblPr>
        <w:tblStyle w:val="19"/>
        <w:tblpPr w:leftFromText="180" w:rightFromText="180" w:vertAnchor="page" w:horzAnchor="margin" w:tblpXSpec="center" w:tblpY="2341"/>
        <w:tblW w:w="10561" w:type="dxa"/>
        <w:tblInd w:w="0" w:type="dxa"/>
        <w:tblLayout w:type="fixed"/>
        <w:tblCellMar>
          <w:top w:w="0" w:type="dxa"/>
          <w:left w:w="0" w:type="dxa"/>
          <w:bottom w:w="0" w:type="dxa"/>
          <w:right w:w="0" w:type="dxa"/>
        </w:tblCellMar>
      </w:tblPr>
      <w:tblGrid>
        <w:gridCol w:w="938"/>
        <w:gridCol w:w="923"/>
        <w:gridCol w:w="1264"/>
        <w:gridCol w:w="1276"/>
        <w:gridCol w:w="708"/>
        <w:gridCol w:w="851"/>
        <w:gridCol w:w="1276"/>
        <w:gridCol w:w="1417"/>
        <w:gridCol w:w="912"/>
        <w:gridCol w:w="996"/>
      </w:tblGrid>
      <w:tr>
        <w:tblPrEx>
          <w:tblLayout w:type="fixed"/>
          <w:tblCellMar>
            <w:top w:w="0" w:type="dxa"/>
            <w:left w:w="0" w:type="dxa"/>
            <w:bottom w:w="0" w:type="dxa"/>
            <w:right w:w="0" w:type="dxa"/>
          </w:tblCellMar>
        </w:tblPrEx>
        <w:trPr>
          <w:trHeight w:val="579" w:hRule="exact"/>
        </w:trPr>
        <w:tc>
          <w:tcPr>
            <w:tcW w:w="938" w:type="dxa"/>
            <w:tcBorders>
              <w:top w:val="single" w:color="000000" w:sz="4" w:space="0"/>
              <w:left w:val="single" w:color="000000" w:sz="4" w:space="0"/>
              <w:bottom w:val="single" w:color="000000" w:sz="4" w:space="0"/>
              <w:right w:val="single" w:color="000000" w:sz="4" w:space="0"/>
            </w:tcBorders>
          </w:tcPr>
          <w:p>
            <w:pPr>
              <w:pStyle w:val="31"/>
              <w:spacing w:before="79" w:line="500" w:lineRule="exact"/>
              <w:ind w:left="102"/>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923"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_GB2312" w:hAnsi="仿宋_GB2312" w:eastAsia="仿宋_GB2312" w:cs="仿宋_GB2312"/>
                <w:sz w:val="32"/>
                <w:szCs w:val="32"/>
              </w:rPr>
            </w:pPr>
          </w:p>
        </w:tc>
        <w:tc>
          <w:tcPr>
            <w:tcW w:w="1264" w:type="dxa"/>
            <w:tcBorders>
              <w:top w:val="single" w:color="000000" w:sz="4" w:space="0"/>
              <w:left w:val="single" w:color="000000" w:sz="4" w:space="0"/>
              <w:bottom w:val="single" w:color="000000" w:sz="4" w:space="0"/>
              <w:right w:val="single" w:color="000000" w:sz="4" w:space="0"/>
            </w:tcBorders>
          </w:tcPr>
          <w:p>
            <w:pPr>
              <w:pStyle w:val="31"/>
              <w:spacing w:before="79" w:line="500" w:lineRule="exact"/>
              <w:ind w:left="102"/>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货物名称</w:t>
            </w:r>
          </w:p>
        </w:tc>
        <w:tc>
          <w:tcPr>
            <w:tcW w:w="1276"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_GB2312" w:hAnsi="仿宋_GB2312" w:eastAsia="仿宋_GB2312" w:cs="仿宋_GB2312"/>
                <w:sz w:val="32"/>
                <w:szCs w:val="32"/>
              </w:rPr>
            </w:pPr>
          </w:p>
        </w:tc>
        <w:tc>
          <w:tcPr>
            <w:tcW w:w="708" w:type="dxa"/>
            <w:tcBorders>
              <w:top w:val="single" w:color="000000" w:sz="4" w:space="0"/>
              <w:left w:val="single" w:color="000000" w:sz="4" w:space="0"/>
              <w:bottom w:val="single" w:color="000000" w:sz="4" w:space="0"/>
              <w:right w:val="single" w:color="000000" w:sz="4" w:space="0"/>
            </w:tcBorders>
          </w:tcPr>
          <w:p>
            <w:pPr>
              <w:pStyle w:val="31"/>
              <w:spacing w:before="79" w:line="500" w:lineRule="exact"/>
              <w:ind w:left="102"/>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产地</w:t>
            </w:r>
          </w:p>
        </w:tc>
        <w:tc>
          <w:tcPr>
            <w:tcW w:w="851"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_GB2312" w:hAnsi="仿宋_GB2312" w:eastAsia="仿宋_GB2312" w:cs="仿宋_GB2312"/>
                <w:sz w:val="32"/>
                <w:szCs w:val="32"/>
              </w:rPr>
            </w:pPr>
          </w:p>
        </w:tc>
        <w:tc>
          <w:tcPr>
            <w:tcW w:w="1276" w:type="dxa"/>
            <w:tcBorders>
              <w:top w:val="single" w:color="000000" w:sz="4" w:space="0"/>
              <w:left w:val="single" w:color="000000" w:sz="4" w:space="0"/>
              <w:bottom w:val="single" w:color="000000" w:sz="4" w:space="0"/>
              <w:right w:val="single" w:color="000000" w:sz="4" w:space="0"/>
            </w:tcBorders>
          </w:tcPr>
          <w:p>
            <w:pPr>
              <w:pStyle w:val="31"/>
              <w:spacing w:before="79" w:line="500" w:lineRule="exact"/>
              <w:ind w:left="102"/>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品牌型号</w:t>
            </w:r>
          </w:p>
        </w:tc>
        <w:tc>
          <w:tcPr>
            <w:tcW w:w="1417"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_GB2312" w:hAnsi="仿宋_GB2312" w:eastAsia="仿宋_GB2312" w:cs="仿宋_GB2312"/>
                <w:sz w:val="32"/>
                <w:szCs w:val="32"/>
              </w:rPr>
            </w:pPr>
          </w:p>
        </w:tc>
        <w:tc>
          <w:tcPr>
            <w:tcW w:w="912" w:type="dxa"/>
            <w:tcBorders>
              <w:top w:val="single" w:color="000000" w:sz="4" w:space="0"/>
              <w:left w:val="single" w:color="000000" w:sz="4" w:space="0"/>
              <w:bottom w:val="single" w:color="000000" w:sz="4" w:space="0"/>
              <w:right w:val="single" w:color="000000" w:sz="4" w:space="0"/>
            </w:tcBorders>
          </w:tcPr>
          <w:p>
            <w:pPr>
              <w:pStyle w:val="31"/>
              <w:spacing w:before="79" w:line="500" w:lineRule="exact"/>
              <w:ind w:left="102"/>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996"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_GB2312" w:hAnsi="仿宋_GB2312" w:eastAsia="仿宋_GB2312" w:cs="仿宋_GB2312"/>
                <w:sz w:val="32"/>
                <w:szCs w:val="32"/>
              </w:rPr>
            </w:pPr>
          </w:p>
        </w:tc>
      </w:tr>
      <w:tr>
        <w:tblPrEx>
          <w:tblLayout w:type="fixed"/>
          <w:tblCellMar>
            <w:top w:w="0" w:type="dxa"/>
            <w:left w:w="0" w:type="dxa"/>
            <w:bottom w:w="0" w:type="dxa"/>
            <w:right w:w="0" w:type="dxa"/>
          </w:tblCellMar>
        </w:tblPrEx>
        <w:trPr>
          <w:trHeight w:val="2127" w:hRule="exact"/>
        </w:trPr>
        <w:tc>
          <w:tcPr>
            <w:tcW w:w="10561" w:type="dxa"/>
            <w:gridSpan w:val="10"/>
            <w:tcBorders>
              <w:top w:val="single" w:color="000000" w:sz="4" w:space="0"/>
              <w:left w:val="single" w:color="000000" w:sz="4" w:space="0"/>
              <w:bottom w:val="single" w:color="000000" w:sz="4" w:space="0"/>
              <w:right w:val="single" w:color="000000" w:sz="4" w:space="0"/>
            </w:tcBorders>
          </w:tcPr>
          <w:p>
            <w:pPr>
              <w:pStyle w:val="31"/>
              <w:tabs>
                <w:tab w:val="left" w:pos="11057"/>
                <w:tab w:val="left" w:pos="11340"/>
              </w:tabs>
              <w:spacing w:line="500" w:lineRule="exact"/>
              <w:ind w:left="102" w:right="3060" w:rightChars="1457"/>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详细参数说明</w:t>
            </w:r>
          </w:p>
        </w:tc>
      </w:tr>
    </w:tbl>
    <w:p>
      <w:pPr>
        <w:spacing w:line="50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投标人（全称并加盖公章）：</w:t>
      </w:r>
    </w:p>
    <w:p>
      <w:pPr>
        <w:spacing w:line="500" w:lineRule="exact"/>
        <w:ind w:firstLine="320" w:firstLineChars="1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投标人代表签字： </w:t>
      </w:r>
    </w:p>
    <w:p>
      <w:pPr>
        <w:spacing w:line="500" w:lineRule="exact"/>
        <w:ind w:firstLine="320" w:firstLineChars="100"/>
        <w:rPr>
          <w:rFonts w:ascii="仿宋" w:hAnsi="仿宋" w:eastAsia="仿宋"/>
          <w:sz w:val="32"/>
          <w:szCs w:val="32"/>
        </w:rPr>
      </w:pPr>
      <w:r>
        <w:rPr>
          <w:rFonts w:hint="eastAsia" w:ascii="仿宋_GB2312" w:hAnsi="仿宋_GB2312" w:eastAsia="仿宋_GB2312" w:cs="仿宋_GB2312"/>
          <w:sz w:val="32"/>
          <w:szCs w:val="32"/>
        </w:rPr>
        <w:t>日      期：</w:t>
      </w: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r>
        <w:rPr>
          <w:rFonts w:hint="eastAsia" w:ascii="仿宋" w:hAnsi="仿宋" w:eastAsia="仿宋"/>
          <w:b/>
          <w:bCs/>
          <w:sz w:val="32"/>
          <w:szCs w:val="32"/>
        </w:rPr>
        <w:t xml:space="preserve">格式5  </w:t>
      </w:r>
    </w:p>
    <w:p>
      <w:pPr>
        <w:spacing w:line="500" w:lineRule="exact"/>
        <w:rPr>
          <w:rFonts w:ascii="仿宋" w:hAnsi="仿宋" w:eastAsia="仿宋"/>
          <w:b/>
          <w:bCs/>
          <w:sz w:val="32"/>
          <w:szCs w:val="32"/>
        </w:rPr>
      </w:pPr>
    </w:p>
    <w:p>
      <w:pPr>
        <w:spacing w:line="500" w:lineRule="exact"/>
        <w:jc w:val="center"/>
        <w:rPr>
          <w:rFonts w:ascii="仿宋" w:hAnsi="仿宋" w:eastAsia="仿宋"/>
          <w:b/>
          <w:bCs/>
          <w:sz w:val="32"/>
          <w:szCs w:val="32"/>
        </w:rPr>
      </w:pPr>
      <w:r>
        <w:rPr>
          <w:rFonts w:hint="eastAsia" w:ascii="方正小标宋简体" w:hAnsi="方正小标宋简体" w:eastAsia="方正小标宋简体" w:cs="方正小标宋简体"/>
          <w:b w:val="0"/>
          <w:bCs w:val="0"/>
          <w:sz w:val="44"/>
          <w:szCs w:val="44"/>
        </w:rPr>
        <w:t>售后服务承诺函</w:t>
      </w:r>
      <w:r>
        <w:rPr>
          <w:rFonts w:hint="eastAsia" w:ascii="方正小标宋简体" w:hAnsi="方正小标宋简体" w:eastAsia="方正小标宋简体" w:cs="方正小标宋简体"/>
          <w:b w:val="0"/>
          <w:bCs w:val="0"/>
          <w:sz w:val="44"/>
          <w:szCs w:val="44"/>
        </w:rPr>
        <w:cr/>
      </w:r>
    </w:p>
    <w:p>
      <w:pPr>
        <w:pStyle w:val="8"/>
        <w:keepNext w:val="0"/>
        <w:keepLines w:val="0"/>
        <w:pageBreakBefore w:val="0"/>
        <w:widowControl w:val="0"/>
        <w:tabs>
          <w:tab w:val="left" w:pos="4580"/>
        </w:tabs>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根据贵方为</w:t>
      </w:r>
      <w:r>
        <w:rPr>
          <w:rFonts w:hint="eastAsia" w:ascii="仿宋_GB2312" w:hAnsi="仿宋_GB2312" w:eastAsia="仿宋_GB2312" w:cs="仿宋_GB2312"/>
          <w:color w:val="auto"/>
          <w:sz w:val="32"/>
          <w:szCs w:val="32"/>
          <w:u w:val="single"/>
          <w:lang w:val="en-US" w:eastAsia="zh-CN"/>
        </w:rPr>
        <w:t>思明控股数据中心临时机房设备采购</w:t>
      </w:r>
      <w:r>
        <w:rPr>
          <w:rFonts w:hint="eastAsia" w:ascii="仿宋_GB2312" w:hAnsi="仿宋_GB2312" w:eastAsia="仿宋_GB2312" w:cs="仿宋_GB2312"/>
          <w:color w:val="auto"/>
          <w:sz w:val="32"/>
          <w:szCs w:val="32"/>
        </w:rPr>
        <w:t>招标项目的投标要求，我公司对该项目做出如下售后服务方案：</w:t>
      </w:r>
    </w:p>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p>
    <w:p>
      <w:pPr>
        <w:pStyle w:val="8"/>
        <w:spacing w:line="500" w:lineRule="exact"/>
        <w:ind w:left="3042" w:right="14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（内容根据招标文件要求自拟）</w:t>
      </w:r>
    </w:p>
    <w:p>
      <w:pPr>
        <w:spacing w:line="500" w:lineRule="exact"/>
        <w:ind w:firstLine="640" w:firstLineChars="200"/>
        <w:rPr>
          <w:rFonts w:hint="eastAsia" w:ascii="仿宋_GB2312" w:hAnsi="仿宋_GB2312" w:eastAsia="仿宋_GB2312" w:cs="仿宋_GB2312"/>
          <w:sz w:val="32"/>
          <w:szCs w:val="32"/>
        </w:rPr>
      </w:pPr>
    </w:p>
    <w:p>
      <w:pPr>
        <w:tabs>
          <w:tab w:val="left" w:pos="6814"/>
        </w:tabs>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p>
    <w:p>
      <w:pPr>
        <w:spacing w:line="500" w:lineRule="exact"/>
        <w:rPr>
          <w:rFonts w:hint="eastAsia" w:ascii="仿宋_GB2312" w:hAnsi="仿宋_GB2312" w:eastAsia="仿宋_GB2312" w:cs="仿宋_GB2312"/>
          <w:sz w:val="32"/>
          <w:szCs w:val="32"/>
        </w:rPr>
      </w:pPr>
    </w:p>
    <w:p>
      <w:pPr>
        <w:spacing w:line="500" w:lineRule="exact"/>
        <w:ind w:firstLine="5600" w:firstLineChars="17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投标人全称(加盖公章)：</w:t>
      </w:r>
    </w:p>
    <w:p>
      <w:pPr>
        <w:spacing w:line="500" w:lineRule="exact"/>
        <w:ind w:firstLine="5600" w:firstLineChars="175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投标人代表签字：</w:t>
      </w:r>
    </w:p>
    <w:p>
      <w:pPr>
        <w:spacing w:line="500" w:lineRule="exact"/>
        <w:ind w:firstLine="5600" w:firstLineChars="175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p>
    <w:p>
      <w:pPr>
        <w:spacing w:line="500" w:lineRule="exact"/>
        <w:rPr>
          <w:rFonts w:ascii="仿宋" w:hAnsi="仿宋" w:eastAsia="仿宋"/>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r>
        <w:rPr>
          <w:rFonts w:hint="eastAsia" w:ascii="仿宋" w:hAnsi="仿宋" w:eastAsia="仿宋"/>
          <w:b/>
          <w:bCs/>
          <w:sz w:val="32"/>
          <w:szCs w:val="32"/>
        </w:rPr>
        <w:t xml:space="preserve">格式6   </w:t>
      </w:r>
    </w:p>
    <w:p>
      <w:pPr>
        <w:spacing w:line="500" w:lineRule="exact"/>
        <w:rPr>
          <w:rFonts w:ascii="仿宋" w:hAnsi="仿宋" w:eastAsia="仿宋"/>
          <w:b/>
          <w:bCs/>
          <w:sz w:val="32"/>
          <w:szCs w:val="32"/>
        </w:rPr>
      </w:pPr>
    </w:p>
    <w:p>
      <w:pPr>
        <w:spacing w:line="500" w:lineRule="exact"/>
        <w:jc w:val="center"/>
        <w:rPr>
          <w:rFonts w:ascii="仿宋" w:hAnsi="仿宋" w:eastAsia="仿宋"/>
          <w:b/>
          <w:bCs/>
          <w:sz w:val="32"/>
          <w:szCs w:val="32"/>
        </w:rPr>
      </w:pPr>
      <w:r>
        <w:rPr>
          <w:rFonts w:hint="eastAsia" w:ascii="方正小标宋简体" w:hAnsi="方正小标宋简体" w:eastAsia="方正小标宋简体" w:cs="方正小标宋简体"/>
          <w:b w:val="0"/>
          <w:bCs w:val="0"/>
          <w:sz w:val="44"/>
          <w:szCs w:val="44"/>
        </w:rPr>
        <w:t>法定代表人授权书</w:t>
      </w:r>
      <w:r>
        <w:rPr>
          <w:rFonts w:hint="eastAsia" w:ascii="仿宋" w:hAnsi="仿宋" w:eastAsia="仿宋"/>
          <w:b/>
          <w:bCs/>
          <w:sz w:val="32"/>
          <w:szCs w:val="32"/>
        </w:rPr>
        <w:cr/>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（投标人全称）</w:t>
      </w:r>
      <w:r>
        <w:rPr>
          <w:rFonts w:hint="eastAsia" w:ascii="仿宋_GB2312" w:hAnsi="仿宋_GB2312" w:eastAsia="仿宋_GB2312" w:cs="仿宋_GB2312"/>
          <w:sz w:val="32"/>
          <w:szCs w:val="32"/>
        </w:rPr>
        <w:t>法定代表人 授权</w:t>
      </w:r>
      <w:r>
        <w:rPr>
          <w:rFonts w:hint="eastAsia" w:ascii="仿宋_GB2312" w:hAnsi="仿宋_GB2312" w:eastAsia="仿宋_GB2312" w:cs="仿宋_GB2312"/>
          <w:sz w:val="32"/>
          <w:szCs w:val="32"/>
          <w:u w:val="single"/>
        </w:rPr>
        <w:t xml:space="preserve">  （投标人代表姓名）</w:t>
      </w:r>
      <w:r>
        <w:rPr>
          <w:rFonts w:hint="eastAsia" w:ascii="仿宋_GB2312" w:hAnsi="仿宋_GB2312" w:eastAsia="仿宋_GB2312" w:cs="仿宋_GB2312"/>
          <w:sz w:val="32"/>
          <w:szCs w:val="32"/>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本授权书自出具之日起生效。</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投标人代表：性别：身份证号：</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单位：部门：  职务：</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详细通讯地址：邮政编码: 电话：</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附：被授权人身份证件</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w:t>
      </w:r>
      <w:r>
        <w:rPr>
          <w:rFonts w:hint="eastAsia" w:ascii="仿宋_GB2312" w:hAnsi="仿宋_GB2312" w:eastAsia="仿宋_GB2312" w:cs="仿宋_GB2312"/>
          <w:sz w:val="32"/>
          <w:szCs w:val="32"/>
          <w:u w:val="single"/>
        </w:rPr>
        <w:t>（全称并加盖公章）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接受授权方</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投标人代表签字：</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p>
    <w:p>
      <w:pPr>
        <w:spacing w:line="500" w:lineRule="exact"/>
        <w:ind w:firstLine="6400" w:firstLineChars="2000"/>
        <w:rPr>
          <w:rFonts w:hint="eastAsia" w:ascii="仿宋_GB2312" w:hAnsi="仿宋_GB2312" w:eastAsia="仿宋_GB2312" w:cs="仿宋_GB2312"/>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r>
        <w:rPr>
          <w:rFonts w:hint="eastAsia" w:ascii="仿宋" w:hAnsi="仿宋" w:eastAsia="仿宋"/>
          <w:b/>
          <w:bCs/>
          <w:sz w:val="32"/>
          <w:szCs w:val="32"/>
        </w:rPr>
        <w:t xml:space="preserve">格式7   </w:t>
      </w:r>
    </w:p>
    <w:p>
      <w:pPr>
        <w:spacing w:line="500" w:lineRule="exact"/>
        <w:rPr>
          <w:rFonts w:ascii="仿宋" w:hAnsi="仿宋" w:eastAsia="仿宋"/>
          <w:b/>
          <w:bCs/>
          <w:sz w:val="32"/>
          <w:szCs w:val="32"/>
        </w:rPr>
      </w:pPr>
    </w:p>
    <w:p>
      <w:pPr>
        <w:spacing w:line="500" w:lineRule="exact"/>
        <w:jc w:val="center"/>
        <w:rPr>
          <w:rFonts w:ascii="仿宋" w:hAnsi="仿宋" w:eastAsia="仿宋"/>
          <w:b/>
          <w:bCs/>
          <w:sz w:val="32"/>
          <w:szCs w:val="32"/>
        </w:rPr>
      </w:pPr>
      <w:r>
        <w:rPr>
          <w:rFonts w:hint="eastAsia" w:ascii="方正小标宋简体" w:hAnsi="方正小标宋简体" w:eastAsia="方正小标宋简体" w:cs="方正小标宋简体"/>
          <w:b w:val="0"/>
          <w:bCs w:val="0"/>
          <w:sz w:val="44"/>
          <w:szCs w:val="44"/>
        </w:rPr>
        <w:t>法人营业执照</w:t>
      </w:r>
    </w:p>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现附上由（签发机关名称）签发的我方法人营业执照副本复印件，该执照业经年检，真实有效。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（注：法人营业执照提供复印件，需复印包括能说明经年检合格的内容，由企业加盖公章并注明复印件与原件一致。）</w:t>
      </w:r>
    </w:p>
    <w:p>
      <w:pPr>
        <w:spacing w:line="50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 标 人（全称并加盖公章）：</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投标人代表签字：</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ascii="仿宋" w:hAnsi="仿宋" w:eastAsia="仿宋"/>
          <w:sz w:val="32"/>
          <w:szCs w:val="32"/>
        </w:rPr>
        <w:br w:type="page"/>
      </w:r>
    </w:p>
    <w:p>
      <w:pPr>
        <w:spacing w:line="220" w:lineRule="atLeast"/>
        <w:jc w:val="left"/>
        <w:rPr>
          <w:rFonts w:ascii="仿宋" w:hAnsi="仿宋" w:eastAsia="仿宋"/>
          <w:b/>
          <w:bCs/>
          <w:sz w:val="32"/>
          <w:szCs w:val="32"/>
        </w:rPr>
      </w:pPr>
      <w:r>
        <w:rPr>
          <w:rFonts w:hint="eastAsia" w:ascii="仿宋" w:hAnsi="仿宋" w:eastAsia="仿宋"/>
          <w:b/>
          <w:bCs/>
          <w:sz w:val="32"/>
          <w:szCs w:val="32"/>
        </w:rPr>
        <w:t>格式8</w:t>
      </w:r>
    </w:p>
    <w:p>
      <w:pPr>
        <w:spacing w:line="220" w:lineRule="atLeas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廉洁诚信承诺书</w:t>
      </w:r>
    </w:p>
    <w:p>
      <w:pPr>
        <w:spacing w:line="300" w:lineRule="exact"/>
        <w:jc w:val="center"/>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401" w:leftChars="-19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厦门开元数字科技有限公司</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405" w:leftChars="-193"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承诺方系</w:t>
      </w:r>
      <w:r>
        <w:rPr>
          <w:rFonts w:hint="eastAsia" w:ascii="仿宋_GB2312" w:hAnsi="仿宋_GB2312" w:eastAsia="仿宋_GB2312" w:cs="仿宋_GB2312"/>
          <w:sz w:val="32"/>
          <w:szCs w:val="32"/>
          <w:u w:val="single"/>
        </w:rPr>
        <w:t>厦门开元数字科技有限公司</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u w:val="single"/>
        </w:rPr>
        <w:t>开元数科”</w:t>
      </w:r>
      <w:r>
        <w:rPr>
          <w:rFonts w:hint="eastAsia" w:ascii="仿宋_GB2312" w:hAnsi="仿宋_GB2312" w:eastAsia="仿宋_GB2312" w:cs="仿宋_GB2312"/>
          <w:sz w:val="32"/>
          <w:szCs w:val="32"/>
        </w:rPr>
        <w:t>）的供应商、服务商或合作商，在相关业务活动(包括但不限于交易洽谈、供货、服务、承揽、技术合作交流、付款)中接触</w:t>
      </w:r>
      <w:r>
        <w:rPr>
          <w:rFonts w:hint="eastAsia" w:ascii="仿宋_GB2312" w:hAnsi="仿宋_GB2312" w:eastAsia="仿宋_GB2312" w:cs="仿宋_GB2312"/>
          <w:sz w:val="32"/>
          <w:szCs w:val="32"/>
          <w:u w:val="single"/>
        </w:rPr>
        <w:t>开元数科</w:t>
      </w:r>
      <w:r>
        <w:rPr>
          <w:rFonts w:hint="eastAsia" w:ascii="仿宋_GB2312" w:hAnsi="仿宋_GB2312" w:eastAsia="仿宋_GB2312" w:cs="仿宋_GB2312"/>
          <w:sz w:val="32"/>
          <w:szCs w:val="32"/>
        </w:rPr>
        <w:t>相关人员和资讯，在廉洁义务和操守方面做出如下承诺：</w:t>
      </w:r>
    </w:p>
    <w:p>
      <w:pPr>
        <w:keepNext w:val="0"/>
        <w:keepLines w:val="0"/>
        <w:pageBreakBefore w:val="0"/>
        <w:widowControl w:val="0"/>
        <w:kinsoku/>
        <w:wordWrap/>
        <w:overflowPunct/>
        <w:topLinePunct w:val="0"/>
        <w:autoSpaceDE/>
        <w:autoSpaceDN/>
        <w:bidi w:val="0"/>
        <w:adjustRightInd/>
        <w:snapToGrid/>
        <w:spacing w:line="560" w:lineRule="exact"/>
        <w:ind w:left="-405" w:leftChars="-193"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一、自觉遵守国家法律、法规，按照《中国共产党纪律处分条例》、《中华人民共和国反不正当竞争法》、《关于禁止商业贿赂行为的暂行规定》、《中华人民共和国招投标法》以及有关要求进行各项业务活动。</w:t>
      </w:r>
    </w:p>
    <w:p>
      <w:pPr>
        <w:keepNext w:val="0"/>
        <w:keepLines w:val="0"/>
        <w:pageBreakBefore w:val="0"/>
        <w:widowControl w:val="0"/>
        <w:kinsoku/>
        <w:wordWrap/>
        <w:overflowPunct/>
        <w:topLinePunct w:val="0"/>
        <w:autoSpaceDE/>
        <w:autoSpaceDN/>
        <w:bidi w:val="0"/>
        <w:adjustRightInd/>
        <w:snapToGrid/>
        <w:spacing w:line="560" w:lineRule="exact"/>
        <w:ind w:left="-405" w:leftChars="-193"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二、不向</w:t>
      </w:r>
      <w:r>
        <w:rPr>
          <w:rFonts w:hint="eastAsia" w:ascii="仿宋_GB2312" w:hAnsi="仿宋_GB2312" w:eastAsia="仿宋_GB2312" w:cs="仿宋_GB2312"/>
          <w:sz w:val="32"/>
          <w:szCs w:val="32"/>
          <w:u w:val="single"/>
        </w:rPr>
        <w:t>开元数科</w:t>
      </w:r>
      <w:r>
        <w:rPr>
          <w:rFonts w:hint="eastAsia" w:ascii="仿宋_GB2312" w:hAnsi="仿宋_GB2312" w:eastAsia="仿宋_GB2312" w:cs="仿宋_GB2312"/>
          <w:sz w:val="32"/>
          <w:szCs w:val="32"/>
        </w:rPr>
        <w:t>的工作人员及其亲属馈赠礼金、礼品（含有价证券）；不向</w:t>
      </w:r>
      <w:r>
        <w:rPr>
          <w:rFonts w:hint="eastAsia" w:ascii="仿宋_GB2312" w:hAnsi="仿宋_GB2312" w:eastAsia="仿宋_GB2312" w:cs="仿宋_GB2312"/>
          <w:sz w:val="32"/>
          <w:szCs w:val="32"/>
          <w:u w:val="single"/>
        </w:rPr>
        <w:t>开元数科</w:t>
      </w:r>
      <w:r>
        <w:rPr>
          <w:rFonts w:hint="eastAsia" w:ascii="仿宋_GB2312" w:hAnsi="仿宋_GB2312" w:eastAsia="仿宋_GB2312" w:cs="仿宋_GB2312"/>
          <w:sz w:val="32"/>
          <w:szCs w:val="32"/>
        </w:rPr>
        <w:t>的工作人员提供任何应由其个人支付报酬的劳务和其它服务；不为</w:t>
      </w:r>
      <w:r>
        <w:rPr>
          <w:rFonts w:hint="eastAsia" w:ascii="仿宋_GB2312" w:hAnsi="仿宋_GB2312" w:eastAsia="仿宋_GB2312" w:cs="仿宋_GB2312"/>
          <w:sz w:val="32"/>
          <w:szCs w:val="32"/>
          <w:u w:val="single"/>
        </w:rPr>
        <w:t>开元数科</w:t>
      </w:r>
      <w:r>
        <w:rPr>
          <w:rFonts w:hint="eastAsia" w:ascii="仿宋_GB2312" w:hAnsi="仿宋_GB2312" w:eastAsia="仿宋_GB2312" w:cs="仿宋_GB2312"/>
          <w:sz w:val="32"/>
          <w:szCs w:val="32"/>
        </w:rPr>
        <w:t>的工作人员安排可能影响公正执行公务的任何活动；不为</w:t>
      </w:r>
      <w:r>
        <w:rPr>
          <w:rFonts w:hint="eastAsia" w:ascii="仿宋_GB2312" w:hAnsi="仿宋_GB2312" w:eastAsia="仿宋_GB2312" w:cs="仿宋_GB2312"/>
          <w:sz w:val="32"/>
          <w:szCs w:val="32"/>
          <w:u w:val="single"/>
        </w:rPr>
        <w:t>开元数科</w:t>
      </w:r>
      <w:r>
        <w:rPr>
          <w:rFonts w:hint="eastAsia" w:ascii="仿宋_GB2312" w:hAnsi="仿宋_GB2312" w:eastAsia="仿宋_GB2312" w:cs="仿宋_GB2312"/>
          <w:sz w:val="32"/>
          <w:szCs w:val="32"/>
        </w:rPr>
        <w:t>的工作人员支付应由其个人支付的任何赞助费、宣传费、咨询费、劳务费等；不为</w:t>
      </w:r>
      <w:r>
        <w:rPr>
          <w:rFonts w:hint="eastAsia" w:ascii="仿宋_GB2312" w:hAnsi="仿宋_GB2312" w:eastAsia="仿宋_GB2312" w:cs="仿宋_GB2312"/>
          <w:sz w:val="32"/>
          <w:szCs w:val="32"/>
          <w:u w:val="single"/>
        </w:rPr>
        <w:t>开元数科</w:t>
      </w:r>
      <w:r>
        <w:rPr>
          <w:rFonts w:hint="eastAsia" w:ascii="仿宋_GB2312" w:hAnsi="仿宋_GB2312" w:eastAsia="仿宋_GB2312" w:cs="仿宋_GB2312"/>
          <w:sz w:val="32"/>
          <w:szCs w:val="32"/>
        </w:rPr>
        <w:t>工作人员报销任何名义的个人消费凭证。一经发现有上述行为，招标人有权取消中标资格。</w:t>
      </w:r>
    </w:p>
    <w:p>
      <w:pPr>
        <w:keepNext w:val="0"/>
        <w:keepLines w:val="0"/>
        <w:pageBreakBefore w:val="0"/>
        <w:widowControl w:val="0"/>
        <w:kinsoku/>
        <w:wordWrap/>
        <w:overflowPunct/>
        <w:topLinePunct w:val="0"/>
        <w:autoSpaceDE/>
        <w:autoSpaceDN/>
        <w:bidi w:val="0"/>
        <w:adjustRightInd/>
        <w:snapToGrid/>
        <w:spacing w:line="560" w:lineRule="exact"/>
        <w:ind w:left="-405" w:leftChars="-193"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三、不与其他经营者串通报价和投标，不排挤其他经营者的公平竞争，损害其他经营者的合法权益；不在工程建设的预决算编制工作中弄虚作假、高估冒算。</w:t>
      </w:r>
    </w:p>
    <w:p>
      <w:pPr>
        <w:keepNext w:val="0"/>
        <w:keepLines w:val="0"/>
        <w:pageBreakBefore w:val="0"/>
        <w:widowControl w:val="0"/>
        <w:kinsoku/>
        <w:wordWrap/>
        <w:overflowPunct/>
        <w:topLinePunct w:val="0"/>
        <w:autoSpaceDE/>
        <w:autoSpaceDN/>
        <w:bidi w:val="0"/>
        <w:adjustRightInd/>
        <w:snapToGrid/>
        <w:spacing w:line="560" w:lineRule="exact"/>
        <w:ind w:left="-405" w:leftChars="-193"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四、承诺方在与</w:t>
      </w:r>
      <w:r>
        <w:rPr>
          <w:rFonts w:hint="eastAsia" w:ascii="仿宋_GB2312" w:hAnsi="仿宋_GB2312" w:eastAsia="仿宋_GB2312" w:cs="仿宋_GB2312"/>
          <w:sz w:val="32"/>
          <w:szCs w:val="32"/>
          <w:u w:val="single"/>
        </w:rPr>
        <w:t>开元数科</w:t>
      </w:r>
      <w:r>
        <w:rPr>
          <w:rFonts w:hint="eastAsia" w:ascii="仿宋_GB2312" w:hAnsi="仿宋_GB2312" w:eastAsia="仿宋_GB2312" w:cs="仿宋_GB2312"/>
          <w:sz w:val="32"/>
          <w:szCs w:val="32"/>
        </w:rPr>
        <w:t>达成和交易履行过程中，提供的资质证明、证照、企业及个人资料、住所、产品名称、规格、品质、服务标准、票据、权证、权利限制均为真实，不存在虚假、期满、伪造、变造行为，如上述情况发生变更，承诺方需在5个工作日内通知</w:t>
      </w:r>
      <w:r>
        <w:rPr>
          <w:rFonts w:hint="eastAsia" w:ascii="仿宋_GB2312" w:hAnsi="仿宋_GB2312" w:eastAsia="仿宋_GB2312" w:cs="仿宋_GB2312"/>
          <w:sz w:val="32"/>
          <w:szCs w:val="32"/>
          <w:u w:val="single"/>
        </w:rPr>
        <w:t>开元数科</w:t>
      </w:r>
      <w:r>
        <w:rPr>
          <w:rFonts w:hint="eastAsia" w:ascii="仿宋_GB2312" w:hAnsi="仿宋_GB2312" w:eastAsia="仿宋_GB2312" w:cs="仿宋_GB2312"/>
          <w:sz w:val="32"/>
          <w:szCs w:val="32"/>
        </w:rPr>
        <w:t>备案存档。</w:t>
      </w:r>
    </w:p>
    <w:p>
      <w:pPr>
        <w:keepNext w:val="0"/>
        <w:keepLines w:val="0"/>
        <w:pageBreakBefore w:val="0"/>
        <w:widowControl w:val="0"/>
        <w:kinsoku/>
        <w:wordWrap/>
        <w:overflowPunct/>
        <w:topLinePunct w:val="0"/>
        <w:autoSpaceDE/>
        <w:autoSpaceDN/>
        <w:bidi w:val="0"/>
        <w:adjustRightInd/>
        <w:snapToGrid/>
        <w:spacing w:line="560" w:lineRule="exact"/>
        <w:ind w:left="-405" w:leftChars="-193"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五、承诺方禁止提供仿冒品（包括但不限于如贴牌、掺杂掺假，以次充好，以旧冒新、以不合格冒充合格）或不符合</w:t>
      </w:r>
      <w:r>
        <w:rPr>
          <w:rFonts w:hint="eastAsia" w:ascii="仿宋_GB2312" w:hAnsi="仿宋_GB2312" w:eastAsia="仿宋_GB2312" w:cs="仿宋_GB2312"/>
          <w:sz w:val="32"/>
          <w:szCs w:val="32"/>
          <w:u w:val="single"/>
        </w:rPr>
        <w:t>开元数科</w:t>
      </w:r>
      <w:r>
        <w:rPr>
          <w:rFonts w:hint="eastAsia" w:ascii="仿宋_GB2312" w:hAnsi="仿宋_GB2312" w:eastAsia="仿宋_GB2312" w:cs="仿宋_GB2312"/>
          <w:sz w:val="32"/>
          <w:szCs w:val="32"/>
        </w:rPr>
        <w:t>所需规格之商品提供</w:t>
      </w:r>
      <w:r>
        <w:rPr>
          <w:rFonts w:hint="eastAsia" w:ascii="仿宋_GB2312" w:hAnsi="仿宋_GB2312" w:eastAsia="仿宋_GB2312" w:cs="仿宋_GB2312"/>
          <w:sz w:val="32"/>
          <w:szCs w:val="32"/>
          <w:u w:val="single"/>
        </w:rPr>
        <w:t>开元数科</w:t>
      </w:r>
      <w:r>
        <w:rPr>
          <w:rFonts w:hint="eastAsia" w:ascii="仿宋_GB2312" w:hAnsi="仿宋_GB2312" w:eastAsia="仿宋_GB2312" w:cs="仿宋_GB2312"/>
          <w:sz w:val="32"/>
          <w:szCs w:val="32"/>
        </w:rPr>
        <w:t>使用。</w:t>
      </w:r>
    </w:p>
    <w:p>
      <w:pPr>
        <w:keepNext w:val="0"/>
        <w:keepLines w:val="0"/>
        <w:pageBreakBefore w:val="0"/>
        <w:widowControl w:val="0"/>
        <w:kinsoku/>
        <w:wordWrap/>
        <w:overflowPunct/>
        <w:topLinePunct w:val="0"/>
        <w:autoSpaceDE/>
        <w:autoSpaceDN/>
        <w:bidi w:val="0"/>
        <w:adjustRightInd/>
        <w:snapToGrid/>
        <w:spacing w:line="560" w:lineRule="exact"/>
        <w:ind w:left="-405" w:leftChars="-193"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六、承诺方同意</w:t>
      </w:r>
      <w:r>
        <w:rPr>
          <w:rFonts w:hint="eastAsia" w:ascii="仿宋_GB2312" w:hAnsi="仿宋_GB2312" w:eastAsia="仿宋_GB2312" w:cs="仿宋_GB2312"/>
          <w:sz w:val="32"/>
          <w:szCs w:val="32"/>
          <w:u w:val="single"/>
        </w:rPr>
        <w:t>开元数科</w:t>
      </w:r>
      <w:r>
        <w:rPr>
          <w:rFonts w:hint="eastAsia" w:ascii="仿宋_GB2312" w:hAnsi="仿宋_GB2312" w:eastAsia="仿宋_GB2312" w:cs="仿宋_GB2312"/>
          <w:sz w:val="32"/>
          <w:szCs w:val="32"/>
        </w:rPr>
        <w:t>依其保密制度所划列的机密资料可包括一切关于</w:t>
      </w:r>
      <w:r>
        <w:rPr>
          <w:rFonts w:hint="eastAsia" w:ascii="仿宋_GB2312" w:hAnsi="仿宋_GB2312" w:eastAsia="仿宋_GB2312" w:cs="仿宋_GB2312"/>
          <w:sz w:val="32"/>
          <w:szCs w:val="32"/>
          <w:u w:val="single"/>
        </w:rPr>
        <w:t>开元数科</w:t>
      </w:r>
      <w:r>
        <w:rPr>
          <w:rFonts w:hint="eastAsia" w:ascii="仿宋_GB2312" w:hAnsi="仿宋_GB2312" w:eastAsia="仿宋_GB2312" w:cs="仿宋_GB2312"/>
          <w:sz w:val="32"/>
          <w:szCs w:val="32"/>
        </w:rPr>
        <w:t>，无论是否有价值，被公开或正在采取保密措施的书面、口头或以其他形式呈现、保存之资讯、承诺方与接受机密资料叁年内均有保密义务，未经</w:t>
      </w:r>
      <w:r>
        <w:rPr>
          <w:rFonts w:hint="eastAsia" w:ascii="仿宋_GB2312" w:hAnsi="仿宋_GB2312" w:eastAsia="仿宋_GB2312" w:cs="仿宋_GB2312"/>
          <w:sz w:val="32"/>
          <w:szCs w:val="32"/>
          <w:u w:val="single"/>
        </w:rPr>
        <w:t>开元数科</w:t>
      </w:r>
      <w:r>
        <w:rPr>
          <w:rFonts w:hint="eastAsia" w:ascii="仿宋_GB2312" w:hAnsi="仿宋_GB2312" w:eastAsia="仿宋_GB2312" w:cs="仿宋_GB2312"/>
          <w:sz w:val="32"/>
          <w:szCs w:val="32"/>
        </w:rPr>
        <w:t>同意不得利用或向任何第三方泄露、交付。</w:t>
      </w:r>
    </w:p>
    <w:p>
      <w:pPr>
        <w:keepNext w:val="0"/>
        <w:keepLines w:val="0"/>
        <w:pageBreakBefore w:val="0"/>
        <w:widowControl w:val="0"/>
        <w:kinsoku/>
        <w:wordWrap/>
        <w:overflowPunct/>
        <w:topLinePunct w:val="0"/>
        <w:autoSpaceDE/>
        <w:autoSpaceDN/>
        <w:bidi w:val="0"/>
        <w:adjustRightInd/>
        <w:snapToGrid/>
        <w:spacing w:line="560" w:lineRule="exact"/>
        <w:ind w:left="-405" w:leftChars="-193"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七、为净化采购相关秩序及环境，可至</w:t>
      </w:r>
      <w:r>
        <w:rPr>
          <w:rFonts w:hint="eastAsia" w:ascii="仿宋_GB2312" w:hAnsi="仿宋_GB2312" w:eastAsia="仿宋_GB2312" w:cs="仿宋_GB2312"/>
          <w:sz w:val="32"/>
          <w:szCs w:val="32"/>
          <w:u w:val="single"/>
        </w:rPr>
        <w:t>开元数科</w:t>
      </w:r>
      <w:r>
        <w:rPr>
          <w:rFonts w:hint="eastAsia" w:ascii="仿宋_GB2312" w:hAnsi="仿宋_GB2312" w:eastAsia="仿宋_GB2312" w:cs="仿宋_GB2312"/>
          <w:sz w:val="32"/>
          <w:szCs w:val="32"/>
        </w:rPr>
        <w:t>进行投诉或申报。</w:t>
      </w:r>
    </w:p>
    <w:p>
      <w:pPr>
        <w:keepNext w:val="0"/>
        <w:keepLines w:val="0"/>
        <w:pageBreakBefore w:val="0"/>
        <w:widowControl w:val="0"/>
        <w:kinsoku/>
        <w:wordWrap/>
        <w:overflowPunct/>
        <w:topLinePunct w:val="0"/>
        <w:autoSpaceDE/>
        <w:autoSpaceDN/>
        <w:bidi w:val="0"/>
        <w:adjustRightInd/>
        <w:snapToGrid/>
        <w:spacing w:line="560" w:lineRule="exact"/>
        <w:ind w:left="-405" w:leftChars="-193"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八、违约责任</w:t>
      </w:r>
    </w:p>
    <w:p>
      <w:pPr>
        <w:keepNext w:val="0"/>
        <w:keepLines w:val="0"/>
        <w:pageBreakBefore w:val="0"/>
        <w:widowControl w:val="0"/>
        <w:kinsoku/>
        <w:wordWrap/>
        <w:overflowPunct/>
        <w:topLinePunct w:val="0"/>
        <w:autoSpaceDE/>
        <w:autoSpaceDN/>
        <w:bidi w:val="0"/>
        <w:adjustRightInd/>
        <w:snapToGrid/>
        <w:spacing w:line="560" w:lineRule="exact"/>
        <w:ind w:left="-405" w:leftChars="-193"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承诺方承诺如违反本承诺书所述任何义务，无论是否给</w:t>
      </w:r>
      <w:r>
        <w:rPr>
          <w:rFonts w:hint="eastAsia" w:ascii="仿宋_GB2312" w:hAnsi="仿宋_GB2312" w:eastAsia="仿宋_GB2312" w:cs="仿宋_GB2312"/>
          <w:sz w:val="32"/>
          <w:szCs w:val="32"/>
          <w:u w:val="single"/>
        </w:rPr>
        <w:t>开元数科</w:t>
      </w:r>
      <w:r>
        <w:rPr>
          <w:rFonts w:hint="eastAsia" w:ascii="仿宋_GB2312" w:hAnsi="仿宋_GB2312" w:eastAsia="仿宋_GB2312" w:cs="仿宋_GB2312"/>
          <w:sz w:val="32"/>
          <w:szCs w:val="32"/>
        </w:rPr>
        <w:t>造成损失，承诺方将承担一切责任，并就</w:t>
      </w:r>
      <w:r>
        <w:rPr>
          <w:rFonts w:hint="eastAsia" w:ascii="仿宋_GB2312" w:hAnsi="仿宋_GB2312" w:eastAsia="仿宋_GB2312" w:cs="仿宋_GB2312"/>
          <w:sz w:val="32"/>
          <w:szCs w:val="32"/>
          <w:u w:val="single"/>
        </w:rPr>
        <w:t>开元数科</w:t>
      </w:r>
      <w:r>
        <w:rPr>
          <w:rFonts w:hint="eastAsia" w:ascii="仿宋_GB2312" w:hAnsi="仿宋_GB2312" w:eastAsia="仿宋_GB2312" w:cs="仿宋_GB2312"/>
          <w:sz w:val="32"/>
          <w:szCs w:val="32"/>
        </w:rPr>
        <w:t>实际造成的经济、名誉损失进行赔偿。</w:t>
      </w:r>
      <w:r>
        <w:rPr>
          <w:rFonts w:hint="eastAsia" w:ascii="仿宋_GB2312" w:hAnsi="仿宋_GB2312" w:eastAsia="仿宋_GB2312" w:cs="仿宋_GB2312"/>
          <w:sz w:val="32"/>
          <w:szCs w:val="32"/>
          <w:u w:val="single"/>
        </w:rPr>
        <w:t>开元数科</w:t>
      </w:r>
      <w:r>
        <w:rPr>
          <w:rFonts w:hint="eastAsia" w:ascii="仿宋_GB2312" w:hAnsi="仿宋_GB2312" w:eastAsia="仿宋_GB2312" w:cs="仿宋_GB2312"/>
          <w:sz w:val="32"/>
          <w:szCs w:val="32"/>
        </w:rPr>
        <w:t>有权解除双方合同并不负任何违约责任，有权从应付承诺方账款中扣罚，并可采用法律手段索赔。</w:t>
      </w:r>
    </w:p>
    <w:p>
      <w:pPr>
        <w:keepNext w:val="0"/>
        <w:keepLines w:val="0"/>
        <w:pageBreakBefore w:val="0"/>
        <w:widowControl w:val="0"/>
        <w:kinsoku/>
        <w:wordWrap/>
        <w:overflowPunct/>
        <w:topLinePunct w:val="0"/>
        <w:autoSpaceDE/>
        <w:autoSpaceDN/>
        <w:bidi w:val="0"/>
        <w:adjustRightInd/>
        <w:snapToGrid/>
        <w:spacing w:line="560" w:lineRule="exact"/>
        <w:ind w:left="-405" w:leftChars="-193"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九、自觉接受监督。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line="240" w:lineRule="atLeast"/>
        <w:ind w:left="-105" w:leftChars="-50"/>
        <w:jc w:val="center"/>
        <w:rPr>
          <w:rFonts w:hint="eastAsia" w:ascii="仿宋_GB2312" w:hAnsi="仿宋_GB2312" w:eastAsia="仿宋_GB2312" w:cs="仿宋_GB2312"/>
          <w:sz w:val="32"/>
          <w:szCs w:val="32"/>
        </w:rPr>
      </w:pPr>
    </w:p>
    <w:p>
      <w:pPr>
        <w:spacing w:line="240" w:lineRule="atLeast"/>
        <w:ind w:left="-105" w:leftChars="-50"/>
        <w:jc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05" w:leftChars="-5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承诺人（投标人）名称（盖章）：</w:t>
      </w:r>
    </w:p>
    <w:p>
      <w:pPr>
        <w:keepNext w:val="0"/>
        <w:keepLines w:val="0"/>
        <w:pageBreakBefore w:val="0"/>
        <w:widowControl w:val="0"/>
        <w:kinsoku/>
        <w:wordWrap/>
        <w:overflowPunct/>
        <w:topLinePunct w:val="0"/>
        <w:autoSpaceDE/>
        <w:autoSpaceDN/>
        <w:bidi w:val="0"/>
        <w:adjustRightInd/>
        <w:snapToGrid/>
        <w:spacing w:line="560" w:lineRule="exact"/>
        <w:ind w:left="-105" w:leftChars="-5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法定代表人（或投标人代表）：</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b/>
          <w:bCs/>
          <w:sz w:val="32"/>
          <w:szCs w:val="32"/>
        </w:rPr>
      </w:pPr>
      <w:r>
        <w:rPr>
          <w:rFonts w:hint="eastAsia" w:ascii="仿宋" w:hAnsi="仿宋" w:eastAsia="仿宋"/>
          <w:b/>
          <w:bCs/>
          <w:sz w:val="32"/>
          <w:szCs w:val="32"/>
        </w:rPr>
        <w:t xml:space="preserve">格式9  </w:t>
      </w:r>
    </w:p>
    <w:p>
      <w:pPr>
        <w:spacing w:before="120" w:beforeLines="50" w:after="120" w:afterLines="5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带“★”号条款逐条响应情况表</w:t>
      </w:r>
    </w:p>
    <w:p>
      <w:pPr>
        <w:spacing w:line="380" w:lineRule="exact"/>
        <w:rPr>
          <w:rFonts w:ascii="仿宋" w:hAnsi="仿宋" w:eastAsia="仿宋"/>
          <w:sz w:val="32"/>
          <w:szCs w:val="32"/>
        </w:rPr>
      </w:pPr>
      <w:r>
        <w:rPr>
          <w:rFonts w:hint="eastAsia" w:ascii="仿宋_GB2312" w:hAnsi="仿宋_GB2312" w:eastAsia="仿宋_GB2312" w:cs="仿宋_GB2312"/>
          <w:sz w:val="32"/>
          <w:szCs w:val="32"/>
        </w:rPr>
        <w:t>项目名称：        招标编号：</w:t>
      </w:r>
    </w:p>
    <w:tbl>
      <w:tblPr>
        <w:tblStyle w:val="19"/>
        <w:tblW w:w="895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3"/>
        <w:gridCol w:w="3630"/>
        <w:gridCol w:w="3344"/>
        <w:gridCol w:w="11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17" w:hRule="atLeast"/>
          <w:jc w:val="center"/>
        </w:trPr>
        <w:tc>
          <w:tcPr>
            <w:tcW w:w="813" w:type="dxa"/>
            <w:vAlign w:val="center"/>
          </w:tcPr>
          <w:p>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630" w:type="dxa"/>
            <w:vAlign w:val="center"/>
          </w:tcPr>
          <w:p>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招标文件中带“★”号的条款</w:t>
            </w:r>
          </w:p>
        </w:tc>
        <w:tc>
          <w:tcPr>
            <w:tcW w:w="3344" w:type="dxa"/>
            <w:vAlign w:val="center"/>
          </w:tcPr>
          <w:p>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投标响应内容</w:t>
            </w:r>
          </w:p>
        </w:tc>
        <w:tc>
          <w:tcPr>
            <w:tcW w:w="1168" w:type="dxa"/>
            <w:vAlign w:val="center"/>
          </w:tcPr>
          <w:p>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对应投标文件页码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投标保证金：人民币壹万元整</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招标预算价（即最高控制价）为：125万元。投标人投标报价超过预算价的投标为无效投标。</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3630" w:type="dxa"/>
            <w:vAlign w:val="center"/>
          </w:tcPr>
          <w:p>
            <w:pPr>
              <w:spacing w:line="300" w:lineRule="exact"/>
              <w:rPr>
                <w:rFonts w:hint="eastAsia" w:ascii="仿宋_GB2312" w:hAnsi="仿宋_GB2312" w:eastAsia="仿宋_GB2312" w:cs="仿宋_GB2312"/>
                <w:bCs/>
                <w:kern w:val="0"/>
                <w:sz w:val="24"/>
              </w:rPr>
            </w:pPr>
            <w:bookmarkStart w:id="141" w:name="_Hlk111035583"/>
            <w:r>
              <w:rPr>
                <w:rFonts w:hint="eastAsia" w:ascii="仿宋_GB2312" w:hAnsi="仿宋_GB2312" w:eastAsia="仿宋_GB2312" w:cs="仿宋_GB2312"/>
                <w:bCs/>
                <w:kern w:val="0"/>
                <w:sz w:val="24"/>
              </w:rPr>
              <w:t>投标人具有独立承担民事责任的能力，并具备参加招投标、政府采购活动的合法条件。投标人必须提供经年检合格的企业法人营业执照（副本）的有效复印件。</w:t>
            </w:r>
            <w:bookmarkEnd w:id="141"/>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配备千兆电口≥16，千兆光口≥8，万兆光口≥8，有独立的管理口和console口</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防火墙吞吐量≥80Gbps，SSL检测吞吐量≥6Gbps</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支持静态路由、OSPF、BGP的双向IPv4和IPv6的BFD检测</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支持主-备和主-主HA方案。双机热备要能支持多种组网形式，确保可靠性，并且数据接口和心跳线支持冗余。</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支持多种线路：DSL，3G/4G，MPLS，MSTP，Internet接入，并可以同时作为活动链路</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支持基于源地址、目的地址、源用户、应用、Internet服务等多元组设置SD-WAN规则</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具备10000种以上攻击特征库规则列表，至少支持基于协议类型、操作系统、严重程度、特征名称、应用类型等方式的查询</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11</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支持云沙箱功能，将疑似威胁数据上传到云端，通过沙箱来判断文件是否为恶意软件。</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支持基于标准SYSLOG传输日志，支持基于TLS的Syslog传输（RFC5425）</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13</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千兆自适应电口数量≥12，千兆光口数量≥12，万兆光口数量≥4；接口无路由/交换/LAN/WAN等固化区分，均可作为二三层接口使用。</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14</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适配带宽5G,网络层吞吐量≥40Gbps,应用层吞吐量≥20Gbps,最大并发连接数≥400万,内存≥4G,最大用户数≥10000</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支持H.323等应用协议ALG,支持IPV4/6双协议栈。</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16</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支持基于源地址、用户、服务、线路、应用、用量、时间进行带宽控制。控制策略支持带宽限制、带宽保障、延迟保障等。</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17</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内置应用对象识别种类≥6000个，支持主流P2P、IM、在线视频、网络游戏、网络炒股等应用识别，支持基于IP、端口等自定义协议服务，应用特征库可提供在线升级和手动升级。支持自定义应用对象。</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18</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内置URL分类库，URL≥1000万，URL分类≥50个，URL库可在线升级</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19</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中国国家信息安全产品认证证书</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千兆电口≥4，接口可拓展；硬盘容量≥4T,可拓展。双电源。</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21</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内置主机/设备操作监控许可数≥200，最大并发会话连接数≥1000</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22</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支持字符型及文件传输协议：Telnet、SSH、FTP、SFTP、Rlogin</w:t>
            </w:r>
          </w:p>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支持图形会话协议：RDP、Xwindow、Radmin、Pcanywhere、Vnc、HTTP、HTTPS、X11</w:t>
            </w:r>
          </w:p>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支持数据库访问协议支持ORACLE、MSSQL、Sybase、Mysql、DB2数据库远程访问协议审计</w:t>
            </w:r>
          </w:p>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支持xshell、securecrt、putty、kvm等第三方客户端工具</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23</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支持本地、radius、LDAP、AD域、短信、Usbkey、Token、SSH密钥认证方式</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24</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支持采用oauth2协议与统一身份认证系统进行对接，完成身份验证和授权</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25</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支持主机/主机组的多级架构管理，可以复制、剪切、粘贴、移除主机/主机组，实现主机/主机组架构的灵活调整</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26</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标准1U机架尺寸，独立非插卡式VPN硬件设备，千兆电口≥4个</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27</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IPsec VPN吞吐量≥55Gbps。IPSEC VPN隧道数≥2000条。SSL VPN并发用户数≥5000个，并提供相应用户授权。SSL加密速度≥200Mbps。每秒新建用户数≥75</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28</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支持用户分组管理、访问资源应用级管理、角色权限管理</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29</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支持主流桌面操作系统及移动操作系统，如windows,linux,android,ios等</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交换容量≥25Tbps，包转发率≥1600Mpps，万兆光口≥48个, QSFP28端口≥6个</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31</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支持VXLAN 二层交换技术，支持VXLAN网关与路由交换技术</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32</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内置智能管理功能，支持通过图形化界面实现对网络的统一运维及管理，主要包括组网拓扑可视及管理、全局配置、设备升级备份、监控及设备故障替换等</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33</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交换容量≥23Tbps，转发性能≥360Mpps，≥24个SFP+万兆端口</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34</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支持IPv4静态路由、RIP V1/V2、OSPF、BGP、IS-IS、策略路由、等价路由，支持IPv6静态路由、RIPng、OSPFv3、BGP4+，路由表容量≥16k</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35</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国产2U机架式非OEM服务器，配置导轨，含冗余电源，单节点配置≥2颗5218R(2.1GHz/20核)CPU模块</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36</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单节点配置≥256G DDR4内存，≥24个DIMM内存插槽,最大支持24根DDR4内存，最高速率2933MT/s，支持RDIMM或LRDIMM，最大容量3.0TB；支持≥12根英特尔傲腾数据中心级持久内存（DCPMM）</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37</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单节点硬盘:≥2块480G SSD系统盘,≥5块8T HDD数据盘，≥1块960G NVME SSD缓存盘；配置≥4个1GE电口，≥4个万兆光口(含光模块)</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38</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支持计算虚拟机，存储虚拟化，网络虚拟化，总配置≥6C，20个虚拟机备份，2个虚拟防火墙授权，三年软件服务</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39</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用户可以依据资源的使用情况，按需选择扩容计算存储型融合节点、计算虚拟化型节点即无需配置数据盘及相应存储虚拟化功能授权、存储虚拟化型节点即无需配置计算虚拟化相应功能授权，满足后期按业务对资源的需求进行灵活扩容，并节省采购成本。</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40</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集群节点数≥2节点，并支持超融合节点数为2节点时，最少扩容节点数为1，扩容时要求原有集群业务不停机，以满足依不同业务分区分域 部署需求，最小化配置集群规模，以降低初始投入，并满足资源无缝、按需扩展。</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41</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集成融合在线的p2v、v2v迁移工具，支持业界主流的操作系统、虚拟化平台、公有云。包括但不限于VMware、微软、华为、H3C 、阿里云、紫光云、深信服等厂商平台的迁移，提升被迁移业务平台的普适性、提升业务迁移的便捷性，降低业务迁移的工作量。</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42</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无代理杀毒功能，降低资源开销，同时现实对Hypervisor层及主流Windows和Linux操作系统主机进行整体的安全防护，管理平台集成并提供统一的防病毒配置界面以提升便捷性，支持不少于2种业界主流防病毒软件供用户按需灵活选择。</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43</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资源容量预测服务，内置时间序列模型，管理平台自动化实现数据检索预测，为提供用户易用的数据预测服务，服务支持呈现实时的CPU、内存和存储容量资源使用数据信息展示，并给出基于AI机器学习算法预测分析得到的预警时间点的提示，支持通过硬盘状态检测与预警技术，提供硬盘故障预测，提供资源扩容规划、硬盘故障预警的智能工具，提升业务整体可靠性。</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 w:hRule="atLeast"/>
          <w:jc w:val="center"/>
        </w:trPr>
        <w:tc>
          <w:tcPr>
            <w:tcW w:w="813"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44</w:t>
            </w:r>
          </w:p>
        </w:tc>
        <w:tc>
          <w:tcPr>
            <w:tcW w:w="3630" w:type="dxa"/>
            <w:vAlign w:val="center"/>
          </w:tcPr>
          <w:p>
            <w:pPr>
              <w:spacing w:line="30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投标人须书面承诺所投产品必须是全新产品，如提供的产品是以旧翻新，按该产品全新的市场价10倍赔偿并承担由此给投标人造成的经济损失，其它投标人有权监督和检举。</w:t>
            </w:r>
          </w:p>
        </w:tc>
        <w:tc>
          <w:tcPr>
            <w:tcW w:w="3344" w:type="dxa"/>
            <w:vAlign w:val="center"/>
          </w:tcPr>
          <w:p>
            <w:pPr>
              <w:spacing w:line="300" w:lineRule="exact"/>
              <w:rPr>
                <w:rFonts w:hint="eastAsia" w:ascii="仿宋_GB2312" w:hAnsi="仿宋_GB2312" w:eastAsia="仿宋_GB2312" w:cs="仿宋_GB2312"/>
                <w:sz w:val="24"/>
              </w:rPr>
            </w:pPr>
          </w:p>
        </w:tc>
        <w:tc>
          <w:tcPr>
            <w:tcW w:w="1168" w:type="dxa"/>
            <w:vAlign w:val="center"/>
          </w:tcPr>
          <w:p>
            <w:pPr>
              <w:spacing w:line="300" w:lineRule="exact"/>
              <w:rPr>
                <w:rFonts w:hint="eastAsia" w:ascii="仿宋_GB2312" w:hAnsi="仿宋_GB2312" w:eastAsia="仿宋_GB2312" w:cs="仿宋_GB2312"/>
                <w:sz w:val="24"/>
              </w:rPr>
            </w:pPr>
          </w:p>
        </w:tc>
      </w:tr>
    </w:tbl>
    <w:p>
      <w:pPr>
        <w:spacing w:line="54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以上★号条款为招标文件中的所有★号条款，无论是技术指标或文字描述要求，投标人必须逐条如实地书面响应及承诺。</w:t>
      </w:r>
    </w:p>
    <w:p>
      <w:pPr>
        <w:spacing w:line="540" w:lineRule="exact"/>
        <w:ind w:firstLine="5600" w:firstLineChars="17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投标人全称（加盖公章）：</w:t>
      </w:r>
    </w:p>
    <w:p>
      <w:pPr>
        <w:spacing w:line="540" w:lineRule="exact"/>
        <w:ind w:firstLine="5600" w:firstLineChars="175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投标人代表签字：</w:t>
      </w:r>
    </w:p>
    <w:p>
      <w:pPr>
        <w:spacing w:line="540" w:lineRule="exact"/>
        <w:ind w:firstLine="5600" w:firstLineChars="17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   期： </w:t>
      </w: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hint="default" w:ascii="仿宋" w:hAnsi="仿宋" w:eastAsia="仿宋"/>
          <w:b/>
          <w:bCs/>
          <w:sz w:val="32"/>
          <w:szCs w:val="32"/>
          <w:lang w:val="en-US" w:eastAsia="zh-CN"/>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r>
        <w:rPr>
          <w:rFonts w:ascii="仿宋" w:hAnsi="仿宋" w:eastAsia="仿宋"/>
          <w:b/>
          <w:bCs/>
          <w:sz w:val="32"/>
          <w:szCs w:val="32"/>
        </w:rPr>
        <w:t>格式</w:t>
      </w:r>
      <w:r>
        <w:rPr>
          <w:rFonts w:hint="eastAsia" w:ascii="仿宋" w:hAnsi="仿宋" w:eastAsia="仿宋"/>
          <w:b/>
          <w:bCs/>
          <w:sz w:val="32"/>
          <w:szCs w:val="32"/>
        </w:rPr>
        <w:t>10</w:t>
      </w:r>
    </w:p>
    <w:p>
      <w:pPr>
        <w:spacing w:line="5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投标人提交的其它资料</w:t>
      </w:r>
    </w:p>
    <w:p>
      <w:pPr>
        <w:spacing w:line="500" w:lineRule="exact"/>
        <w:rPr>
          <w:rFonts w:ascii="仿宋" w:hAnsi="仿宋" w:eastAsia="仿宋"/>
          <w:b/>
          <w:sz w:val="32"/>
          <w:szCs w:val="32"/>
        </w:rPr>
      </w:pPr>
    </w:p>
    <w:p>
      <w:pPr>
        <w:spacing w:line="50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（投标人认为应提交的其他材料, 可在此附件中提交）</w:t>
      </w:r>
    </w:p>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p>
    <w:p>
      <w:pPr>
        <w:spacing w:line="500" w:lineRule="exact"/>
        <w:ind w:firstLine="5600" w:firstLineChars="17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投标人全称(加盖公章)：</w:t>
      </w:r>
    </w:p>
    <w:p>
      <w:pPr>
        <w:spacing w:line="500" w:lineRule="exact"/>
        <w:ind w:firstLine="5600" w:firstLineChars="175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投标人代表签字：</w:t>
      </w:r>
    </w:p>
    <w:p>
      <w:pPr>
        <w:spacing w:line="500" w:lineRule="exact"/>
        <w:ind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pPr>
        <w:spacing w:line="500" w:lineRule="exact"/>
        <w:ind w:firstLine="5760" w:firstLineChars="1800"/>
        <w:rPr>
          <w:rFonts w:hint="eastAsia" w:ascii="仿宋_GB2312" w:hAnsi="仿宋_GB2312" w:eastAsia="仿宋_GB2312" w:cs="仿宋_GB2312"/>
          <w:sz w:val="32"/>
          <w:szCs w:val="32"/>
        </w:rPr>
      </w:pPr>
    </w:p>
    <w:p>
      <w:pPr>
        <w:spacing w:line="500" w:lineRule="exact"/>
        <w:ind w:firstLine="5760" w:firstLineChars="1800"/>
        <w:rPr>
          <w:rFonts w:ascii="仿宋" w:hAnsi="仿宋" w:eastAsia="仿宋"/>
          <w:sz w:val="32"/>
          <w:szCs w:val="32"/>
        </w:rPr>
      </w:pPr>
    </w:p>
    <w:p>
      <w:pPr>
        <w:spacing w:line="500" w:lineRule="exact"/>
        <w:ind w:firstLine="5760" w:firstLineChars="1800"/>
        <w:rPr>
          <w:rFonts w:ascii="仿宋" w:hAnsi="仿宋" w:eastAsia="仿宋"/>
          <w:sz w:val="32"/>
          <w:szCs w:val="32"/>
        </w:rPr>
      </w:pPr>
    </w:p>
    <w:p>
      <w:pPr>
        <w:spacing w:line="500" w:lineRule="exact"/>
        <w:rPr>
          <w:rFonts w:ascii="仿宋" w:hAnsi="仿宋" w:eastAsia="仿宋"/>
          <w:b/>
          <w:bCs/>
          <w:sz w:val="32"/>
          <w:szCs w:val="32"/>
        </w:rPr>
      </w:pPr>
      <w:r>
        <w:rPr>
          <w:rFonts w:hint="eastAsia" w:ascii="仿宋" w:hAnsi="仿宋" w:eastAsia="仿宋"/>
          <w:b/>
          <w:bCs/>
          <w:sz w:val="32"/>
          <w:szCs w:val="32"/>
        </w:rPr>
        <w:t>格式11 投标人密封条</w:t>
      </w:r>
    </w:p>
    <w:p>
      <w:pPr>
        <w:spacing w:line="500" w:lineRule="exact"/>
        <w:rPr>
          <w:rFonts w:ascii="仿宋" w:hAnsi="仿宋" w:eastAsia="仿宋"/>
          <w:sz w:val="32"/>
          <w:szCs w:val="32"/>
        </w:rPr>
      </w:pPr>
    </w:p>
    <w:p>
      <w:pPr>
        <w:spacing w:line="500" w:lineRule="exact"/>
        <w:rPr>
          <w:rFonts w:ascii="仿宋" w:hAnsi="仿宋" w:eastAsia="仿宋" w:cs="Arial"/>
          <w:sz w:val="32"/>
          <w:szCs w:val="32"/>
        </w:rPr>
      </w:pPr>
      <w:r>
        <w:rPr>
          <w:rFonts w:hint="eastAsia" w:ascii="仿宋" w:hAnsi="仿宋" w:eastAsia="仿宋" w:cs="Arial"/>
          <w:sz w:val="32"/>
          <w:szCs w:val="32"/>
        </w:rPr>
        <w:t>--------------------------------------------------------</w:t>
      </w:r>
    </w:p>
    <w:p>
      <w:pPr>
        <w:spacing w:line="500" w:lineRule="exact"/>
        <w:rPr>
          <w:rFonts w:hint="eastAsia" w:ascii="仿宋_GB2312" w:hAnsi="仿宋_GB2312" w:eastAsia="仿宋_GB2312" w:cs="仿宋_GB2312"/>
          <w:b/>
          <w:sz w:val="32"/>
          <w:szCs w:val="32"/>
        </w:rPr>
      </w:pPr>
      <w:r>
        <w:rPr>
          <w:rFonts w:hint="eastAsia" w:ascii="仿宋" w:hAnsi="仿宋" w:eastAsia="仿宋" w:cs="Arial"/>
          <w:b/>
          <w:sz w:val="32"/>
          <w:szCs w:val="32"/>
        </w:rPr>
        <w:t xml:space="preserve">    </w:t>
      </w:r>
      <w:r>
        <w:rPr>
          <w:rFonts w:hint="eastAsia" w:ascii="仿宋_GB2312" w:hAnsi="仿宋_GB2312" w:eastAsia="仿宋_GB2312" w:cs="仿宋_GB2312"/>
          <w:b/>
          <w:sz w:val="32"/>
          <w:szCs w:val="32"/>
        </w:rPr>
        <w:t>密    封    条</w:t>
      </w:r>
    </w:p>
    <w:tbl>
      <w:tblPr>
        <w:tblStyle w:val="19"/>
        <w:tblW w:w="86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305"/>
        <w:gridCol w:w="2239"/>
        <w:gridCol w:w="1486"/>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427" w:type="dxa"/>
            <w:vAlign w:val="center"/>
          </w:tcPr>
          <w:p>
            <w:p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送   呈</w:t>
            </w:r>
          </w:p>
        </w:tc>
        <w:tc>
          <w:tcPr>
            <w:tcW w:w="7230" w:type="dxa"/>
            <w:gridSpan w:val="4"/>
            <w:vAlign w:val="center"/>
          </w:tcPr>
          <w:p>
            <w:p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厦门开元数字科技有限公司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1427" w:type="dxa"/>
            <w:vAlign w:val="center"/>
          </w:tcPr>
          <w:p>
            <w:p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项目名称</w:t>
            </w:r>
          </w:p>
        </w:tc>
        <w:tc>
          <w:tcPr>
            <w:tcW w:w="3544" w:type="dxa"/>
            <w:gridSpan w:val="2"/>
            <w:vAlign w:val="center"/>
          </w:tcPr>
          <w:p>
            <w:pPr>
              <w:spacing w:line="500" w:lineRule="exact"/>
              <w:rPr>
                <w:rFonts w:hint="eastAsia" w:ascii="仿宋_GB2312" w:hAnsi="仿宋_GB2312" w:eastAsia="仿宋_GB2312" w:cs="仿宋_GB2312"/>
                <w:bCs/>
                <w:sz w:val="32"/>
                <w:szCs w:val="32"/>
                <w:lang w:val="zh-CN"/>
              </w:rPr>
            </w:pPr>
          </w:p>
        </w:tc>
        <w:tc>
          <w:tcPr>
            <w:tcW w:w="1486" w:type="dxa"/>
            <w:vAlign w:val="center"/>
          </w:tcPr>
          <w:p>
            <w:p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招标编号</w:t>
            </w:r>
          </w:p>
        </w:tc>
        <w:tc>
          <w:tcPr>
            <w:tcW w:w="2200" w:type="dxa"/>
            <w:vAlign w:val="center"/>
          </w:tcPr>
          <w:p>
            <w:pPr>
              <w:spacing w:line="500" w:lineRule="exact"/>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427" w:type="dxa"/>
            <w:vAlign w:val="center"/>
          </w:tcPr>
          <w:p>
            <w:p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截标日期</w:t>
            </w:r>
          </w:p>
        </w:tc>
        <w:tc>
          <w:tcPr>
            <w:tcW w:w="7230" w:type="dxa"/>
            <w:gridSpan w:val="4"/>
            <w:vAlign w:val="center"/>
          </w:tcPr>
          <w:p>
            <w:p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年月日分止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732" w:type="dxa"/>
            <w:gridSpan w:val="2"/>
            <w:vAlign w:val="center"/>
          </w:tcPr>
          <w:p>
            <w:p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报价单位名称（加盖密封章或公章）</w:t>
            </w:r>
          </w:p>
        </w:tc>
        <w:tc>
          <w:tcPr>
            <w:tcW w:w="5925" w:type="dxa"/>
            <w:gridSpan w:val="3"/>
            <w:vAlign w:val="center"/>
          </w:tcPr>
          <w:p>
            <w:pPr>
              <w:spacing w:line="500" w:lineRule="exact"/>
              <w:rPr>
                <w:rFonts w:hint="eastAsia" w:ascii="仿宋_GB2312" w:hAnsi="仿宋_GB2312" w:eastAsia="仿宋_GB2312" w:cs="仿宋_GB2312"/>
                <w:kern w:val="0"/>
                <w:sz w:val="32"/>
                <w:szCs w:val="32"/>
              </w:rPr>
            </w:pPr>
          </w:p>
        </w:tc>
      </w:tr>
    </w:tbl>
    <w:p>
      <w:pPr>
        <w:spacing w:line="500" w:lineRule="exact"/>
        <w:rPr>
          <w:rFonts w:ascii="仿宋" w:hAnsi="仿宋" w:eastAsia="仿宋"/>
          <w:b/>
          <w:sz w:val="32"/>
          <w:szCs w:val="32"/>
        </w:rPr>
      </w:pPr>
    </w:p>
    <w:p>
      <w:pPr>
        <w:spacing w:line="500" w:lineRule="exact"/>
        <w:rPr>
          <w:rFonts w:ascii="仿宋" w:hAnsi="仿宋" w:eastAsia="仿宋" w:cs="Arial"/>
          <w:sz w:val="32"/>
          <w:szCs w:val="32"/>
        </w:rPr>
      </w:pPr>
      <w:r>
        <w:rPr>
          <w:rFonts w:hint="eastAsia" w:ascii="仿宋" w:hAnsi="仿宋" w:eastAsia="仿宋" w:cs="Arial"/>
          <w:sz w:val="32"/>
          <w:szCs w:val="32"/>
        </w:rPr>
        <w:t>--------------------------------------------------------</w:t>
      </w:r>
      <w:bookmarkEnd w:id="5"/>
      <w:bookmarkEnd w:id="6"/>
    </w:p>
    <w:p>
      <w:pPr>
        <w:spacing w:line="500" w:lineRule="exact"/>
        <w:rPr>
          <w:rFonts w:ascii="仿宋" w:hAnsi="仿宋" w:eastAsia="仿宋"/>
          <w:b/>
          <w:bCs/>
          <w:sz w:val="32"/>
          <w:szCs w:val="32"/>
        </w:rPr>
      </w:pPr>
      <w:r>
        <w:rPr>
          <w:rFonts w:hint="eastAsia" w:ascii="仿宋" w:hAnsi="仿宋" w:eastAsia="仿宋"/>
          <w:b/>
          <w:bCs/>
          <w:sz w:val="32"/>
          <w:szCs w:val="32"/>
        </w:rPr>
        <w:t>格式12  采购合同（以招标人与中标人协商结果为最终合同）</w:t>
      </w:r>
    </w:p>
    <w:p>
      <w:pPr>
        <w:spacing w:line="500" w:lineRule="exact"/>
        <w:rPr>
          <w:rFonts w:ascii="仿宋" w:hAnsi="仿宋" w:eastAsia="仿宋"/>
          <w:b/>
          <w:bCs/>
          <w:sz w:val="32"/>
          <w:szCs w:val="32"/>
        </w:rPr>
      </w:pPr>
    </w:p>
    <w:p>
      <w:pPr>
        <w:jc w:val="center"/>
        <w:rPr>
          <w:rFonts w:hint="eastAsia" w:ascii="方正小标宋简体" w:hAnsi="方正小标宋简体" w:eastAsia="方正小标宋简体" w:cs="方正小标宋简体"/>
          <w:b w:val="0"/>
          <w:bCs/>
          <w:sz w:val="44"/>
          <w:szCs w:val="44"/>
        </w:rPr>
      </w:pPr>
      <w:r>
        <w:rPr>
          <w:rFonts w:hint="eastAsia" w:ascii="宋体" w:hAnsi="宋体"/>
          <w:b/>
          <w:sz w:val="36"/>
          <w:szCs w:val="36"/>
          <w:lang w:eastAsia="zh-CN"/>
        </w:rPr>
        <w:tab/>
      </w:r>
      <w:r>
        <w:rPr>
          <w:rFonts w:hint="eastAsia" w:ascii="宋体" w:hAnsi="宋体"/>
          <w:b/>
          <w:sz w:val="36"/>
          <w:szCs w:val="36"/>
          <w:lang w:eastAsia="zh-CN"/>
        </w:rPr>
        <w:tab/>
      </w:r>
      <w:bookmarkStart w:id="142" w:name="_Toc93293546"/>
      <w:r>
        <w:rPr>
          <w:rFonts w:hint="eastAsia" w:ascii="方正小标宋简体" w:hAnsi="方正小标宋简体" w:eastAsia="方正小标宋简体" w:cs="方正小标宋简体"/>
          <w:b w:val="0"/>
          <w:bCs/>
          <w:sz w:val="44"/>
          <w:szCs w:val="44"/>
        </w:rPr>
        <w:t>思明控股数据中心临时机房设备采购合同</w:t>
      </w:r>
    </w:p>
    <w:p>
      <w:pPr>
        <w:spacing w:line="400" w:lineRule="exact"/>
        <w:rPr>
          <w:rFonts w:ascii="仿宋_GB2312" w:eastAsia="仿宋_GB2312"/>
          <w:sz w:val="28"/>
          <w:szCs w:val="28"/>
        </w:rPr>
      </w:pPr>
    </w:p>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合同编号：                    </w:t>
      </w:r>
    </w:p>
    <w:p>
      <w:pPr>
        <w:keepNext w:val="0"/>
        <w:keepLines w:val="0"/>
        <w:pageBreakBefore w:val="0"/>
        <w:kinsoku/>
        <w:wordWrap/>
        <w:overflowPunct/>
        <w:topLinePunct w:val="0"/>
        <w:autoSpaceDE/>
        <w:autoSpaceDN/>
        <w:bidi w:val="0"/>
        <w:adjustRightInd/>
        <w:snapToGrid w:val="0"/>
        <w:spacing w:before="120" w:beforeLines="50" w:after="120" w:afterLines="5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甲方（买方）：</w:t>
      </w:r>
      <w:r>
        <w:rPr>
          <w:rFonts w:hint="eastAsia" w:ascii="仿宋_GB2312" w:hAnsi="仿宋_GB2312" w:eastAsia="仿宋_GB2312" w:cs="仿宋_GB2312"/>
          <w:sz w:val="32"/>
          <w:szCs w:val="32"/>
          <w:u w:val="single"/>
        </w:rPr>
        <w:t xml:space="preserve">厦门开元数字科技有限公司 </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乙方（卖方）：_________________________</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根据《中华人民共和国民法典》等有关法律法规的规定，秉着诚实、平等的原则，经友好协商，就甲方向乙方采购设备、服务及安装事宜达成本合同，并共同信守。</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一、合同标的及完成时间</w:t>
      </w:r>
    </w:p>
    <w:p>
      <w:pPr>
        <w:keepNext w:val="0"/>
        <w:keepLines w:val="0"/>
        <w:pageBreakBefore w:val="0"/>
        <w:kinsoku/>
        <w:wordWrap/>
        <w:overflowPunct/>
        <w:topLinePunct w:val="0"/>
        <w:autoSpaceDE/>
        <w:autoSpaceDN/>
        <w:bidi w:val="0"/>
        <w:adjustRightInd/>
        <w:spacing w:line="560" w:lineRule="exact"/>
        <w:ind w:firstLine="627"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1.1甲方向乙方购买</w:t>
      </w:r>
      <w:r>
        <w:rPr>
          <w:rFonts w:hint="eastAsia" w:ascii="仿宋_GB2312" w:hAnsi="仿宋_GB2312" w:eastAsia="仿宋_GB2312" w:cs="仿宋_GB2312"/>
          <w:bCs/>
          <w:sz w:val="32"/>
          <w:szCs w:val="32"/>
          <w:u w:val="single"/>
        </w:rPr>
        <w:t>思明控股数据中心临时机房设备</w:t>
      </w:r>
      <w:r>
        <w:rPr>
          <w:rFonts w:hint="eastAsia" w:ascii="仿宋_GB2312" w:hAnsi="仿宋_GB2312" w:eastAsia="仿宋_GB2312" w:cs="仿宋_GB2312"/>
          <w:sz w:val="32"/>
          <w:szCs w:val="32"/>
        </w:rPr>
        <w:t>（具体产品清单详见合同附件）</w:t>
      </w:r>
      <w:r>
        <w:rPr>
          <w:rFonts w:hint="eastAsia" w:ascii="仿宋_GB2312" w:hAnsi="仿宋_GB2312" w:eastAsia="仿宋_GB2312" w:cs="仿宋_GB2312"/>
          <w:b/>
          <w:sz w:val="32"/>
          <w:szCs w:val="32"/>
        </w:rPr>
        <w:t>。</w:t>
      </w:r>
    </w:p>
    <w:p>
      <w:pPr>
        <w:keepNext w:val="0"/>
        <w:keepLines w:val="0"/>
        <w:pageBreakBefore w:val="0"/>
        <w:kinsoku/>
        <w:wordWrap/>
        <w:overflowPunct/>
        <w:topLinePunct w:val="0"/>
        <w:autoSpaceDE/>
        <w:autoSpaceDN/>
        <w:bidi w:val="0"/>
        <w:adjustRightInd/>
        <w:spacing w:line="560" w:lineRule="exact"/>
        <w:ind w:firstLine="627" w:firstLineChars="196"/>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1.2本合同履行时限为30天（2022年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日至2022年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日）。乙方应在合同签订后15个工作日内交付货物，合同签订后30个工作日内（含货物交付期）完成全部服务并通过验收可投入使用</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二、合同价格和付款方式</w:t>
      </w:r>
    </w:p>
    <w:p>
      <w:pPr>
        <w:keepNext w:val="0"/>
        <w:keepLines w:val="0"/>
        <w:pageBreakBefore w:val="0"/>
        <w:kinsoku/>
        <w:wordWrap/>
        <w:overflowPunct/>
        <w:topLinePunct w:val="0"/>
        <w:autoSpaceDE/>
        <w:autoSpaceDN/>
        <w:bidi w:val="0"/>
        <w:adjustRightIn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2.1本合同金额暂定为人民币</w:t>
      </w:r>
      <w:r>
        <w:rPr>
          <w:rFonts w:hint="eastAsia" w:ascii="仿宋_GB2312" w:hAnsi="仿宋_GB2312" w:eastAsia="仿宋_GB2312" w:cs="仿宋_GB2312"/>
          <w:sz w:val="32"/>
          <w:szCs w:val="32"/>
          <w:u w:val="single"/>
        </w:rPr>
        <w:t>大写</w:t>
      </w:r>
      <w:bookmarkStart w:id="143" w:name="OLE_LINK1"/>
      <w:r>
        <w:rPr>
          <w:rFonts w:hint="eastAsia" w:ascii="仿宋_GB2312" w:hAnsi="仿宋_GB2312" w:eastAsia="仿宋_GB2312" w:cs="仿宋_GB2312"/>
          <w:sz w:val="32"/>
          <w:szCs w:val="32"/>
          <w:u w:val="single"/>
        </w:rPr>
        <w:t xml:space="preserve">              元整</w:t>
      </w:r>
      <w:bookmarkEnd w:id="143"/>
      <w:r>
        <w:rPr>
          <w:rFonts w:hint="eastAsia" w:ascii="仿宋_GB2312" w:hAnsi="仿宋_GB2312" w:eastAsia="仿宋_GB2312" w:cs="仿宋_GB2312"/>
          <w:sz w:val="32"/>
          <w:szCs w:val="32"/>
          <w:u w:val="single"/>
        </w:rPr>
        <w:t>，小写￥            元</w:t>
      </w:r>
      <w:r>
        <w:rPr>
          <w:rFonts w:hint="eastAsia" w:ascii="仿宋_GB2312" w:hAnsi="仿宋_GB2312" w:eastAsia="仿宋_GB2312" w:cs="仿宋_GB2312"/>
          <w:sz w:val="32"/>
          <w:szCs w:val="32"/>
        </w:rPr>
        <w:t>。乙方为完成本合同内容所需的设备费、运输费、运输保险费、税费、人工费、设备安装并试运行、乙方的管理费、利润、以及税金等与本合同相关的一切费用均已包含在本合同价款中，最终结算价以甲方出具的审核结论书为准。</w:t>
      </w:r>
    </w:p>
    <w:bookmarkEnd w:id="142"/>
    <w:p>
      <w:pPr>
        <w:keepNext w:val="0"/>
        <w:keepLines w:val="0"/>
        <w:pageBreakBefore w:val="0"/>
        <w:tabs>
          <w:tab w:val="left" w:pos="426"/>
          <w:tab w:val="left" w:pos="709"/>
        </w:tabs>
        <w:kinsoku/>
        <w:wordWrap/>
        <w:overflowPunct/>
        <w:topLinePunct w:val="0"/>
        <w:autoSpaceDE/>
        <w:autoSpaceDN/>
        <w:bidi w:val="0"/>
        <w:adjustRightInd/>
        <w:spacing w:line="560" w:lineRule="exact"/>
        <w:ind w:leftChars="-540" w:hanging="1296" w:hangingChars="40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2.2乙方按照甲方要求交货至甲方指定现场，同时提交产品合格证明文件、质量保证书。甲方在收货</w:t>
      </w:r>
      <w:r>
        <w:rPr>
          <w:rFonts w:hint="eastAsia" w:ascii="仿宋_GB2312" w:hAnsi="仿宋_GB2312" w:eastAsia="仿宋_GB2312" w:cs="仿宋_GB2312"/>
          <w:sz w:val="32"/>
          <w:szCs w:val="32"/>
          <w:lang w:val="en-US" w:eastAsia="zh-Hans"/>
        </w:rPr>
        <w:t>且开箱验收合格</w:t>
      </w:r>
      <w:r>
        <w:rPr>
          <w:rFonts w:hint="eastAsia" w:ascii="仿宋_GB2312" w:hAnsi="仿宋_GB2312" w:eastAsia="仿宋_GB2312" w:cs="仿宋_GB2312"/>
          <w:sz w:val="32"/>
          <w:szCs w:val="32"/>
        </w:rPr>
        <w:t>后十五个工作日内向乙方支付该批货物金额70%的货款。本合同所有内容完成并经甲方及相关</w:t>
      </w:r>
      <w:r>
        <w:rPr>
          <w:rFonts w:hint="eastAsia" w:ascii="仿宋_GB2312" w:hAnsi="仿宋_GB2312" w:eastAsia="仿宋_GB2312" w:cs="仿宋_GB2312"/>
          <w:sz w:val="32"/>
          <w:szCs w:val="32"/>
          <w:lang w:eastAsia="zh-Hans"/>
        </w:rPr>
        <w:t>单位</w:t>
      </w:r>
      <w:r>
        <w:rPr>
          <w:rFonts w:hint="eastAsia" w:ascii="仿宋_GB2312" w:hAnsi="仿宋_GB2312" w:eastAsia="仿宋_GB2312" w:cs="仿宋_GB2312"/>
          <w:sz w:val="32"/>
          <w:szCs w:val="32"/>
        </w:rPr>
        <w:t>验收合格且设备正常运行后</w:t>
      </w:r>
      <w:r>
        <w:rPr>
          <w:rFonts w:hint="eastAsia" w:ascii="仿宋_GB2312" w:hAnsi="仿宋_GB2312" w:eastAsia="仿宋_GB2312" w:cs="仿宋_GB2312"/>
          <w:sz w:val="32"/>
          <w:szCs w:val="32"/>
          <w:u w:val="single"/>
        </w:rPr>
        <w:t>十五</w:t>
      </w:r>
      <w:r>
        <w:rPr>
          <w:rFonts w:hint="eastAsia" w:ascii="仿宋_GB2312" w:hAnsi="仿宋_GB2312" w:eastAsia="仿宋_GB2312" w:cs="仿宋_GB2312"/>
          <w:sz w:val="32"/>
          <w:szCs w:val="32"/>
        </w:rPr>
        <w:t>个工作日内，乙方将本合同结算资料报送甲方审核，甲方于审核完毕后十五个工作日内支付至结算价的</w:t>
      </w:r>
      <w:r>
        <w:rPr>
          <w:rFonts w:hint="eastAsia" w:ascii="仿宋_GB2312" w:hAnsi="仿宋_GB2312" w:eastAsia="仿宋_GB2312" w:cs="仿宋_GB2312"/>
          <w:sz w:val="32"/>
          <w:szCs w:val="32"/>
          <w:u w:val="single"/>
        </w:rPr>
        <w:t>95</w:t>
      </w:r>
      <w:r>
        <w:rPr>
          <w:rFonts w:hint="eastAsia" w:ascii="仿宋_GB2312" w:hAnsi="仿宋_GB2312" w:eastAsia="仿宋_GB2312" w:cs="仿宋_GB2312"/>
          <w:sz w:val="32"/>
          <w:szCs w:val="32"/>
        </w:rPr>
        <w:t>％给乙方。审核后结算价的</w:t>
      </w:r>
      <w:r>
        <w:rPr>
          <w:rFonts w:hint="eastAsia" w:ascii="仿宋_GB2312" w:hAnsi="仿宋_GB2312" w:eastAsia="仿宋_GB2312" w:cs="仿宋_GB2312"/>
          <w:sz w:val="32"/>
          <w:szCs w:val="32"/>
          <w:u w:val="single"/>
        </w:rPr>
        <w:t>5%</w:t>
      </w:r>
      <w:r>
        <w:rPr>
          <w:rFonts w:hint="eastAsia" w:ascii="仿宋_GB2312" w:hAnsi="仿宋_GB2312" w:eastAsia="仿宋_GB2312" w:cs="仿宋_GB2312"/>
          <w:sz w:val="32"/>
          <w:szCs w:val="32"/>
        </w:rPr>
        <w:t>作为质量保证金, 合同设备质量保证期限届满，质量保证期内若设备无质量异议，未发生应扣除费用且乙方不存在任何违约行为，经甲方或甲方指定的单位确认后十个工作日内甲方全额返还质量保证金，不计利息。</w:t>
      </w:r>
    </w:p>
    <w:p>
      <w:pPr>
        <w:keepNext w:val="0"/>
        <w:keepLines w:val="0"/>
        <w:pageBreakBefore w:val="0"/>
        <w:tabs>
          <w:tab w:val="left" w:pos="1134"/>
        </w:tabs>
        <w:kinsoku/>
        <w:wordWrap/>
        <w:overflowPunct/>
        <w:topLinePunct w:val="0"/>
        <w:autoSpaceDE/>
        <w:autoSpaceDN/>
        <w:bidi w:val="0"/>
        <w:adjustRightInd/>
        <w:spacing w:line="560" w:lineRule="exact"/>
        <w:ind w:left="202" w:leftChars="-289" w:hanging="809" w:hangingChars="253"/>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2.3甲方支付结算款前，乙方需提供合同复印件及符合甲方要求的正式税务发票（含质量保证金），否则甲方有权不予支付且不属违约。</w:t>
      </w:r>
      <w:r>
        <w:rPr>
          <w:rFonts w:hint="eastAsia" w:ascii="仿宋_GB2312" w:hAnsi="仿宋_GB2312" w:eastAsia="仿宋_GB2312" w:cs="仿宋_GB2312"/>
          <w:sz w:val="32"/>
          <w:szCs w:val="32"/>
          <w:u w:val="single"/>
        </w:rPr>
        <w:t>双方确认甲方将款项转入乙方在合同中载明的开户银行及账号即视为甲方完成了付款义务。</w:t>
      </w:r>
    </w:p>
    <w:p>
      <w:pPr>
        <w:keepNext w:val="0"/>
        <w:keepLines w:val="0"/>
        <w:pageBreakBefore w:val="0"/>
        <w:tabs>
          <w:tab w:val="left" w:pos="426"/>
          <w:tab w:val="left" w:pos="567"/>
        </w:tabs>
        <w:kinsoku/>
        <w:wordWrap/>
        <w:overflowPunct/>
        <w:topLinePunct w:val="0"/>
        <w:autoSpaceDE/>
        <w:autoSpaceDN/>
        <w:bidi w:val="0"/>
        <w:adjustRightInd/>
        <w:snapToGrid w:val="0"/>
        <w:spacing w:line="560" w:lineRule="exact"/>
        <w:ind w:left="141" w:leftChars="67"/>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三、设备交付及检验</w:t>
      </w:r>
    </w:p>
    <w:p>
      <w:pPr>
        <w:keepNext w:val="0"/>
        <w:keepLines w:val="0"/>
        <w:pageBreakBefore w:val="0"/>
        <w:tabs>
          <w:tab w:val="left" w:pos="630"/>
        </w:tabs>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sz w:val="32"/>
          <w:szCs w:val="32"/>
        </w:rPr>
        <w:t>3.1交货地点：</w:t>
      </w:r>
      <w:r>
        <w:rPr>
          <w:rFonts w:hint="eastAsia" w:ascii="仿宋_GB2312" w:hAnsi="仿宋_GB2312" w:eastAsia="仿宋_GB2312" w:cs="仿宋_GB2312"/>
          <w:sz w:val="32"/>
          <w:szCs w:val="32"/>
          <w:u w:val="single"/>
        </w:rPr>
        <w:t>厦门市思明区台东路68号1801单元</w:t>
      </w:r>
    </w:p>
    <w:p>
      <w:pPr>
        <w:keepNext w:val="0"/>
        <w:keepLines w:val="0"/>
        <w:pageBreakBefore w:val="0"/>
        <w:tabs>
          <w:tab w:val="left" w:pos="630"/>
        </w:tabs>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3.2交货方式：</w:t>
      </w:r>
      <w:r>
        <w:rPr>
          <w:rFonts w:hint="eastAsia" w:ascii="仿宋_GB2312" w:hAnsi="仿宋_GB2312" w:eastAsia="仿宋_GB2312" w:cs="仿宋_GB2312"/>
          <w:sz w:val="32"/>
          <w:szCs w:val="32"/>
          <w:u w:val="single"/>
        </w:rPr>
        <w:t>货运</w:t>
      </w:r>
      <w:r>
        <w:rPr>
          <w:rFonts w:hint="eastAsia" w:ascii="仿宋_GB2312" w:hAnsi="仿宋_GB2312" w:eastAsia="仿宋_GB2312" w:cs="仿宋_GB2312"/>
          <w:sz w:val="32"/>
          <w:szCs w:val="32"/>
        </w:rPr>
        <w:t>，运费由</w:t>
      </w:r>
      <w:r>
        <w:rPr>
          <w:rFonts w:hint="eastAsia" w:ascii="仿宋_GB2312" w:hAnsi="仿宋_GB2312" w:eastAsia="仿宋_GB2312" w:cs="仿宋_GB2312"/>
          <w:sz w:val="32"/>
          <w:szCs w:val="32"/>
          <w:u w:val="single"/>
        </w:rPr>
        <w:t>乙方</w:t>
      </w:r>
      <w:r>
        <w:rPr>
          <w:rFonts w:hint="eastAsia" w:ascii="仿宋_GB2312" w:hAnsi="仿宋_GB2312" w:eastAsia="仿宋_GB2312" w:cs="仿宋_GB2312"/>
          <w:sz w:val="32"/>
          <w:szCs w:val="32"/>
        </w:rPr>
        <w:t>承担。乙方应当按照适合于公路、铁路等运输的要求，对设备进行适当的包装，任何由于包装不妥善所造成的损失均由乙方负责，包装费已含在合同总价中。</w:t>
      </w:r>
    </w:p>
    <w:p>
      <w:pPr>
        <w:keepNext w:val="0"/>
        <w:keepLines w:val="0"/>
        <w:pageBreakBefore w:val="0"/>
        <w:tabs>
          <w:tab w:val="left" w:pos="630"/>
        </w:tabs>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设备运抵现场时，乙方应提交一份由制造商出具的证明设备符合合同规定的证书，说明所供设备的质量、规格、性能、数量和重量等已经进行准确而全面的检验；该证书将作为提交付款单据的一部分，但有关质量、规格、性能、数量或重量的检验不应视为最终检验，乙方仍应承担合同约定的设备质量及安装质量的保证责任。</w:t>
      </w:r>
    </w:p>
    <w:p>
      <w:pPr>
        <w:keepNext w:val="0"/>
        <w:keepLines w:val="0"/>
        <w:pageBreakBefore w:val="0"/>
        <w:tabs>
          <w:tab w:val="left" w:pos="630"/>
        </w:tabs>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设备运抵现场后，甲方应在五个工作日内会同有关部门对设备的规格、数量等进行检验，如验收达到合同规定的要求，由甲方出具开箱验收合格证明；如发现设备的规格或数量或两者均与合同要求不符，乙方应在五个日历日内采取补救措施，以保证设备按时交付使用，由此产生的一切责任均由乙方承担。</w:t>
      </w:r>
    </w:p>
    <w:p>
      <w:pPr>
        <w:keepNext w:val="0"/>
        <w:keepLines w:val="0"/>
        <w:pageBreakBefore w:val="0"/>
        <w:tabs>
          <w:tab w:val="left" w:pos="630"/>
        </w:tabs>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3.5乙方应在到货前向甲方提供一份详细的设备到货清单备案，验收过程所发生的一切费用均由乙方承担。</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四、产品质量保证</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4.1乙方保证其产品质量均符合国家、行业等相关标准及规范。如各标准及规范不一致时，以最高标准及规范或以甲方的标准确定。</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4.2乙方保证其产品是全新且未使用过的、完整的，在设计、性能、技术和材料方面都是完备的，如原材料缺陷或制造工艺发生质量问题，应无条件退换故障产品，并承担由此引起的所有责任及损失。</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4.3乙方保证其产品均为原厂正品，如出现假冒伪劣产品，乙方应无条件退换，并向甲方支付合同金额20%的违约金。</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4.4乙方承诺提供完整有效的产品检测报告、合格证、中文版的产品安装调试使用手册或说明书等。</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4.5乙方保证其向甲方提供的所有产品及服务不会侵犯任何第三方的知识产权。一旦甲方因此遭受到任何第三方的索赔、诉讼或任何权利请求，乙方有义务自费处理纠纷，并承担由此引起的所有法律和经济责任</w:t>
      </w:r>
      <w:r>
        <w:rPr>
          <w:rFonts w:hint="eastAsia" w:ascii="仿宋_GB2312" w:hAnsi="仿宋_GB2312" w:eastAsia="仿宋_GB2312" w:cs="仿宋_GB2312"/>
          <w:sz w:val="32"/>
          <w:szCs w:val="32"/>
          <w:lang w:eastAsia="zh-Hans"/>
        </w:rPr>
        <w:t>，如因此给甲方造成相应损失，乙方应予以赔偿</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 本合同的质量保证期为</w:t>
      </w:r>
      <w:r>
        <w:rPr>
          <w:rFonts w:hint="eastAsia" w:ascii="仿宋_GB2312" w:hAnsi="仿宋_GB2312" w:eastAsia="仿宋_GB2312" w:cs="仿宋_GB2312"/>
          <w:b/>
          <w:sz w:val="32"/>
          <w:szCs w:val="32"/>
        </w:rPr>
        <w:t>_____</w:t>
      </w:r>
      <w:r>
        <w:rPr>
          <w:rFonts w:hint="eastAsia" w:ascii="仿宋_GB2312" w:hAnsi="仿宋_GB2312" w:eastAsia="仿宋_GB2312" w:cs="仿宋_GB2312"/>
          <w:sz w:val="32"/>
          <w:szCs w:val="32"/>
        </w:rPr>
        <w:t>个月，质量保证期从设备安装完成并经甲方验收合格、乙方将所有设备及相关资料全部移交甲方或甲方指定的单位次日起</w:t>
      </w:r>
      <w:r>
        <w:rPr>
          <w:rFonts w:hint="eastAsia" w:ascii="仿宋_GB2312" w:hAnsi="仿宋_GB2312" w:eastAsia="仿宋_GB2312" w:cs="仿宋_GB2312"/>
          <w:sz w:val="32"/>
          <w:szCs w:val="32"/>
          <w:lang w:eastAsia="zh-Hans"/>
        </w:rPr>
        <w:t>算。</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五、相关服务</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5.1本合同质量（含设备质量及安装质量）必须达到合格标准, 应符合国家及行业技术规范要求。质量保证期内如设备运行发生故障（甲方人为损坏及不可抗力因素造成的除外），乙方应免费提供咨询、更换损坏的零部件和维修服务。如甲方先行支付的，甲方有权从质量保证中抵扣，不足部分及造成的其他损失仍可向乙方追偿。在质量保证期外，乙方提供终身有偿服务。</w:t>
      </w:r>
    </w:p>
    <w:p>
      <w:pPr>
        <w:keepNext w:val="0"/>
        <w:keepLines w:val="0"/>
        <w:pageBreakBefore w:val="0"/>
        <w:kinsoku/>
        <w:wordWrap/>
        <w:overflowPunct/>
        <w:topLinePunct w:val="0"/>
        <w:autoSpaceDE/>
        <w:autoSpaceDN/>
        <w:bidi w:val="0"/>
        <w:adjustRightInd/>
        <w:snapToGrid w:val="0"/>
        <w:spacing w:before="120" w:beforeLines="50" w:after="120" w:afterLines="5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5.2质保期间，乙方检修人员应在接到维修通知后立即进行网络远程处理，若网络远程无法处理的，应在接到甲方维修通知30分钟内马上安排专业人员到达现场进行问题或故障的诊断与排除，并在2小时内恢复系统正常运行；</w:t>
      </w:r>
      <w:r>
        <w:rPr>
          <w:rFonts w:hint="eastAsia" w:ascii="仿宋_GB2312" w:hAnsi="仿宋_GB2312" w:eastAsia="仿宋_GB2312" w:cs="仿宋_GB2312"/>
          <w:color w:val="000000"/>
          <w:sz w:val="32"/>
          <w:szCs w:val="32"/>
        </w:rPr>
        <w:t>维保检修人员不能排除故障时，乙方应在接到甲方通知起24小时内负责安排设备制造厂商派技术人员到现场</w:t>
      </w:r>
      <w:r>
        <w:rPr>
          <w:rFonts w:hint="eastAsia" w:ascii="仿宋_GB2312" w:hAnsi="仿宋_GB2312" w:eastAsia="仿宋_GB2312" w:cs="仿宋_GB2312"/>
          <w:sz w:val="32"/>
          <w:szCs w:val="32"/>
        </w:rPr>
        <w:t>进行问题或故障的诊断与排除，并在4小时内恢复系统正常运行</w:t>
      </w:r>
      <w:r>
        <w:rPr>
          <w:rFonts w:hint="eastAsia" w:ascii="仿宋_GB2312" w:hAnsi="仿宋_GB2312" w:eastAsia="仿宋_GB2312" w:cs="仿宋_GB2312"/>
          <w:color w:val="000000"/>
          <w:sz w:val="32"/>
          <w:szCs w:val="32"/>
        </w:rPr>
        <w:t>，相关费用由乙方负责。</w:t>
      </w:r>
    </w:p>
    <w:p>
      <w:pPr>
        <w:keepNext w:val="0"/>
        <w:keepLines w:val="0"/>
        <w:pageBreakBefore w:val="0"/>
        <w:kinsoku/>
        <w:wordWrap/>
        <w:overflowPunct/>
        <w:topLinePunct w:val="0"/>
        <w:autoSpaceDE/>
        <w:autoSpaceDN/>
        <w:bidi w:val="0"/>
        <w:adjustRightInd/>
        <w:snapToGrid w:val="0"/>
        <w:spacing w:before="120" w:beforeLines="50" w:after="120" w:afterLines="5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5.3为保证设备的良好运行状态，质保期间乙方应免费派技术人员对甲方的管理、维保人员进行设备的基本知识、使用、维护保养技术进行培训，并免费为甲方提供电话、邮件咨询服务，提供相关产品说明书。</w:t>
      </w:r>
    </w:p>
    <w:p>
      <w:pPr>
        <w:keepNext w:val="0"/>
        <w:keepLines w:val="0"/>
        <w:pageBreakBefore w:val="0"/>
        <w:kinsoku/>
        <w:wordWrap/>
        <w:overflowPunct/>
        <w:topLinePunct w:val="0"/>
        <w:autoSpaceDE/>
        <w:autoSpaceDN/>
        <w:bidi w:val="0"/>
        <w:adjustRightInd/>
        <w:snapToGrid w:val="0"/>
        <w:spacing w:line="560" w:lineRule="exact"/>
        <w:ind w:firstLine="55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5.4对所提供的设备的配套软件，乙方保证软件标准功能的实现和系统的正常使用，甲方如有非标准化的软件功能需求，需向乙方提交书面软件功能开发申请，经乙方技术人员评估能够实现后且为简易非标准化软件功能需求，乙方按约定进行开发并在约定期限内免费交付使用。</w:t>
      </w:r>
    </w:p>
    <w:p>
      <w:pPr>
        <w:keepNext w:val="0"/>
        <w:keepLines w:val="0"/>
        <w:pageBreakBefore w:val="0"/>
        <w:kinsoku/>
        <w:wordWrap/>
        <w:overflowPunct/>
        <w:topLinePunct w:val="0"/>
        <w:autoSpaceDE/>
        <w:autoSpaceDN/>
        <w:bidi w:val="0"/>
        <w:adjustRightInd/>
        <w:spacing w:line="560" w:lineRule="exact"/>
        <w:ind w:firstLine="480"/>
        <w:textAlignment w:val="auto"/>
        <w:rPr>
          <w:rFonts w:hint="eastAsia" w:ascii="仿宋_GB2312" w:hAnsi="仿宋_GB2312" w:eastAsia="仿宋_GB2312" w:cs="仿宋_GB2312"/>
          <w:color w:val="000000"/>
          <w:sz w:val="32"/>
          <w:szCs w:val="32"/>
        </w:rPr>
      </w:pPr>
    </w:p>
    <w:p>
      <w:pPr>
        <w:keepNext w:val="0"/>
        <w:keepLines w:val="0"/>
        <w:pageBreakBefore w:val="0"/>
        <w:tabs>
          <w:tab w:val="left" w:pos="630"/>
        </w:tabs>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    六、双方权利义务</w:t>
      </w:r>
    </w:p>
    <w:p>
      <w:pPr>
        <w:keepNext w:val="0"/>
        <w:keepLines w:val="0"/>
        <w:pageBreakBefore w:val="0"/>
        <w:tabs>
          <w:tab w:val="left" w:pos="630"/>
        </w:tabs>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6.1甲方权利义务</w:t>
      </w:r>
    </w:p>
    <w:p>
      <w:pPr>
        <w:keepNext w:val="0"/>
        <w:keepLines w:val="0"/>
        <w:pageBreakBefore w:val="0"/>
        <w:tabs>
          <w:tab w:val="left" w:pos="630"/>
        </w:tabs>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6.1.1提供设备安装调试用的电源，但由乙方自行接入</w:t>
      </w:r>
      <w:r>
        <w:rPr>
          <w:rFonts w:hint="eastAsia" w:ascii="仿宋_GB2312" w:hAnsi="仿宋_GB2312" w:eastAsia="仿宋_GB2312" w:cs="仿宋_GB2312"/>
          <w:sz w:val="32"/>
          <w:szCs w:val="32"/>
          <w:lang w:eastAsia="zh-Hans"/>
        </w:rPr>
        <w:t>。</w:t>
      </w:r>
    </w:p>
    <w:p>
      <w:pPr>
        <w:keepNext w:val="0"/>
        <w:keepLines w:val="0"/>
        <w:pageBreakBefore w:val="0"/>
        <w:tabs>
          <w:tab w:val="left" w:pos="630"/>
        </w:tabs>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6.1.2设备运抵后按约定安排检验</w:t>
      </w:r>
      <w:r>
        <w:rPr>
          <w:rFonts w:hint="eastAsia" w:ascii="仿宋_GB2312" w:hAnsi="仿宋_GB2312" w:eastAsia="仿宋_GB2312" w:cs="仿宋_GB2312"/>
          <w:sz w:val="32"/>
          <w:szCs w:val="32"/>
          <w:lang w:eastAsia="zh-Hans"/>
        </w:rPr>
        <w:t>。</w:t>
      </w:r>
    </w:p>
    <w:p>
      <w:pPr>
        <w:keepNext w:val="0"/>
        <w:keepLines w:val="0"/>
        <w:pageBreakBefore w:val="0"/>
        <w:tabs>
          <w:tab w:val="left" w:pos="630"/>
        </w:tabs>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6.1.3按合同约定及时支付相应款项。</w:t>
      </w:r>
    </w:p>
    <w:p>
      <w:pPr>
        <w:keepNext w:val="0"/>
        <w:keepLines w:val="0"/>
        <w:pageBreakBefore w:val="0"/>
        <w:tabs>
          <w:tab w:val="left" w:pos="630"/>
        </w:tabs>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6.2乙方权利义务</w:t>
      </w:r>
    </w:p>
    <w:p>
      <w:pPr>
        <w:keepNext w:val="0"/>
        <w:keepLines w:val="0"/>
        <w:pageBreakBefore w:val="0"/>
        <w:tabs>
          <w:tab w:val="left" w:pos="630"/>
        </w:tabs>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6.2.1按照设备制造厂商的安装规范和标准完成所有设备的安装及调试工作；乙方需对一切作业、施工方法和已完成安装工程的稳定性、安全性、工程质量、</w:t>
      </w:r>
      <w:r>
        <w:rPr>
          <w:rFonts w:hint="eastAsia" w:ascii="仿宋_GB2312" w:hAnsi="仿宋_GB2312" w:eastAsia="仿宋_GB2312" w:cs="仿宋_GB2312"/>
          <w:sz w:val="32"/>
          <w:szCs w:val="32"/>
          <w:lang w:val="en-US" w:eastAsia="zh-Hans"/>
        </w:rPr>
        <w:t>安全事故责任、</w:t>
      </w:r>
      <w:r>
        <w:rPr>
          <w:rFonts w:hint="eastAsia" w:ascii="仿宋_GB2312" w:hAnsi="仿宋_GB2312" w:eastAsia="仿宋_GB2312" w:cs="仿宋_GB2312"/>
          <w:sz w:val="32"/>
          <w:szCs w:val="32"/>
        </w:rPr>
        <w:t>以及</w:t>
      </w:r>
      <w:r>
        <w:rPr>
          <w:rFonts w:hint="eastAsia" w:ascii="仿宋_GB2312" w:hAnsi="仿宋_GB2312" w:eastAsia="仿宋_GB2312" w:cs="仿宋_GB2312"/>
          <w:sz w:val="32"/>
          <w:szCs w:val="32"/>
          <w:lang w:val="en-US" w:eastAsia="zh-Hans"/>
        </w:rPr>
        <w:t>甲方现场人员及</w:t>
      </w:r>
      <w:r>
        <w:rPr>
          <w:rFonts w:hint="eastAsia" w:ascii="仿宋_GB2312" w:hAnsi="仿宋_GB2312" w:eastAsia="仿宋_GB2312" w:cs="仿宋_GB2312"/>
          <w:sz w:val="32"/>
          <w:szCs w:val="32"/>
        </w:rPr>
        <w:t>乙方施工人员的人身安全等全面负责</w:t>
      </w:r>
      <w:r>
        <w:rPr>
          <w:rFonts w:hint="eastAsia" w:ascii="仿宋_GB2312" w:hAnsi="仿宋_GB2312" w:eastAsia="仿宋_GB2312" w:cs="仿宋_GB2312"/>
          <w:sz w:val="32"/>
          <w:szCs w:val="32"/>
          <w:lang w:eastAsia="zh-Hans"/>
        </w:rPr>
        <w:t>。</w:t>
      </w:r>
    </w:p>
    <w:p>
      <w:pPr>
        <w:keepNext w:val="0"/>
        <w:keepLines w:val="0"/>
        <w:pageBreakBefore w:val="0"/>
        <w:tabs>
          <w:tab w:val="left" w:pos="630"/>
        </w:tabs>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6.2.2遵守施工现场有关环境、质量、安全规章制度，服从甲方协调，妥善处理与其他单位的关系</w:t>
      </w:r>
      <w:r>
        <w:rPr>
          <w:rFonts w:hint="eastAsia" w:ascii="仿宋_GB2312" w:hAnsi="仿宋_GB2312" w:eastAsia="仿宋_GB2312" w:cs="仿宋_GB2312"/>
          <w:sz w:val="32"/>
          <w:szCs w:val="32"/>
          <w:lang w:eastAsia="zh-Hans"/>
        </w:rPr>
        <w:t>。</w:t>
      </w:r>
    </w:p>
    <w:p>
      <w:pPr>
        <w:keepNext w:val="0"/>
        <w:keepLines w:val="0"/>
        <w:pageBreakBefore w:val="0"/>
        <w:tabs>
          <w:tab w:val="left" w:pos="630"/>
        </w:tabs>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6.2.3乙方完成安装、调试工作后应书面通知甲方，甲方派员会同乙方根据合同约定、技术数据及相关标准进行验收，验收合格后由甲、乙双方共同签署《验收报告》</w:t>
      </w:r>
      <w:r>
        <w:rPr>
          <w:rFonts w:hint="eastAsia" w:ascii="仿宋_GB2312" w:hAnsi="仿宋_GB2312" w:eastAsia="仿宋_GB2312" w:cs="仿宋_GB2312"/>
          <w:sz w:val="32"/>
          <w:szCs w:val="32"/>
          <w:lang w:eastAsia="zh-Hans"/>
        </w:rPr>
        <w:t>。</w:t>
      </w:r>
    </w:p>
    <w:p>
      <w:pPr>
        <w:keepNext w:val="0"/>
        <w:keepLines w:val="0"/>
        <w:pageBreakBefore w:val="0"/>
        <w:tabs>
          <w:tab w:val="left" w:pos="630"/>
        </w:tabs>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6.2.4乙方应按甲方要求的时间将本合同内的所有设备交付甲方或甲方指定的单位使用，设备交付使用之前由乙方负责保管，交付前发生的任何风险、危险（包括不可抗力）和费用均由乙方承担。</w:t>
      </w:r>
    </w:p>
    <w:p>
      <w:pPr>
        <w:keepNext w:val="0"/>
        <w:keepLines w:val="0"/>
        <w:pageBreakBefore w:val="0"/>
        <w:tabs>
          <w:tab w:val="left" w:pos="630"/>
        </w:tabs>
        <w:kinsoku/>
        <w:wordWrap/>
        <w:overflowPunct/>
        <w:topLinePunct w:val="0"/>
        <w:autoSpaceDE/>
        <w:autoSpaceDN/>
        <w:bidi w:val="0"/>
        <w:adjustRightInd/>
        <w:snapToGrid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6.2.5负责组织本项目的验收工作。</w:t>
      </w:r>
    </w:p>
    <w:p>
      <w:pPr>
        <w:keepNext w:val="0"/>
        <w:keepLines w:val="0"/>
        <w:pageBreakBefore w:val="0"/>
        <w:tabs>
          <w:tab w:val="left" w:pos="630"/>
        </w:tabs>
        <w:kinsoku/>
        <w:wordWrap/>
        <w:overflowPunct/>
        <w:topLinePunct w:val="0"/>
        <w:autoSpaceDE/>
        <w:autoSpaceDN/>
        <w:bidi w:val="0"/>
        <w:adjustRightInd/>
        <w:snapToGrid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6.2.6乙方对甲方提交的设计资料、文件及客户信息，未经甲方书面同意，乙方不得擅自修改、复制或向第三人转让或用于本合同外的项目，如发生以上情况，乙方应负法律责任，甲方有权向乙方索赔。</w:t>
      </w:r>
    </w:p>
    <w:p>
      <w:pPr>
        <w:keepNext w:val="0"/>
        <w:keepLines w:val="0"/>
        <w:pageBreakBefore w:val="0"/>
        <w:tabs>
          <w:tab w:val="left" w:pos="630"/>
        </w:tabs>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七、违约责任</w:t>
      </w:r>
    </w:p>
    <w:p>
      <w:pPr>
        <w:keepNext w:val="0"/>
        <w:keepLines w:val="0"/>
        <w:pageBreakBefore w:val="0"/>
        <w:tabs>
          <w:tab w:val="left" w:pos="630"/>
        </w:tabs>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7.1因乙方原因造成合同逾期的，甲方有权每天按合同价款的</w:t>
      </w:r>
      <w:r>
        <w:rPr>
          <w:rFonts w:hint="eastAsia" w:ascii="仿宋_GB2312" w:hAnsi="仿宋_GB2312" w:eastAsia="仿宋_GB2312" w:cs="仿宋_GB2312"/>
          <w:sz w:val="32"/>
          <w:szCs w:val="32"/>
          <w:lang w:val="en-US" w:eastAsia="zh-Hans"/>
        </w:rPr>
        <w:t>万</w:t>
      </w:r>
      <w:r>
        <w:rPr>
          <w:rFonts w:hint="eastAsia" w:ascii="仿宋_GB2312" w:hAnsi="仿宋_GB2312" w:eastAsia="仿宋_GB2312" w:cs="仿宋_GB2312"/>
          <w:sz w:val="32"/>
          <w:szCs w:val="32"/>
        </w:rPr>
        <w:t>分之五收取违约金；当延误期限达</w:t>
      </w:r>
      <w:r>
        <w:rPr>
          <w:rFonts w:hint="eastAsia" w:ascii="仿宋_GB2312" w:hAnsi="仿宋_GB2312" w:eastAsia="仿宋_GB2312" w:cs="仿宋_GB2312"/>
          <w:sz w:val="32"/>
          <w:szCs w:val="32"/>
          <w:u w:val="single"/>
        </w:rPr>
        <w:t>十</w:t>
      </w:r>
      <w:r>
        <w:rPr>
          <w:rFonts w:hint="eastAsia" w:ascii="仿宋_GB2312" w:hAnsi="仿宋_GB2312" w:eastAsia="仿宋_GB2312" w:cs="仿宋_GB2312"/>
          <w:sz w:val="32"/>
          <w:szCs w:val="32"/>
        </w:rPr>
        <w:t>天，甲方有权</w:t>
      </w:r>
      <w:r>
        <w:rPr>
          <w:rFonts w:hint="eastAsia" w:ascii="仿宋_GB2312" w:hAnsi="仿宋_GB2312" w:eastAsia="仿宋_GB2312" w:cs="仿宋_GB2312"/>
          <w:sz w:val="32"/>
          <w:szCs w:val="32"/>
          <w:lang w:eastAsia="zh-Hans"/>
        </w:rPr>
        <w:t>解除本合同，并</w:t>
      </w:r>
      <w:r>
        <w:rPr>
          <w:rFonts w:hint="eastAsia" w:ascii="仿宋_GB2312" w:hAnsi="仿宋_GB2312" w:eastAsia="仿宋_GB2312" w:cs="仿宋_GB2312"/>
          <w:sz w:val="32"/>
          <w:szCs w:val="32"/>
        </w:rPr>
        <w:t>委托第三方进行施工，所发生一切费用</w:t>
      </w:r>
      <w:r>
        <w:rPr>
          <w:rFonts w:hint="eastAsia" w:ascii="仿宋_GB2312" w:hAnsi="仿宋_GB2312" w:eastAsia="仿宋_GB2312" w:cs="仿宋_GB2312"/>
          <w:sz w:val="32"/>
          <w:szCs w:val="32"/>
          <w:lang w:eastAsia="zh-Hans"/>
        </w:rPr>
        <w:t>及损失</w:t>
      </w:r>
      <w:r>
        <w:rPr>
          <w:rFonts w:hint="eastAsia" w:ascii="仿宋_GB2312" w:hAnsi="仿宋_GB2312" w:eastAsia="仿宋_GB2312" w:cs="仿宋_GB2312"/>
          <w:sz w:val="32"/>
          <w:szCs w:val="32"/>
        </w:rPr>
        <w:t>均由乙方承担，甲方有权从应付给乙方的任何款项中直接扣回此款和违约金。</w:t>
      </w:r>
    </w:p>
    <w:p>
      <w:pPr>
        <w:keepNext w:val="0"/>
        <w:keepLines w:val="0"/>
        <w:pageBreakBefore w:val="0"/>
        <w:tabs>
          <w:tab w:val="left" w:pos="630"/>
        </w:tabs>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7.2因甲方自身原因逾期支付合同款项的，乙方有权每天按合同价款的</w:t>
      </w:r>
      <w:r>
        <w:rPr>
          <w:rFonts w:hint="eastAsia" w:ascii="仿宋_GB2312" w:hAnsi="仿宋_GB2312" w:eastAsia="仿宋_GB2312" w:cs="仿宋_GB2312"/>
          <w:sz w:val="32"/>
          <w:szCs w:val="32"/>
          <w:lang w:val="en-US" w:eastAsia="zh-Hans"/>
        </w:rPr>
        <w:t>万</w:t>
      </w:r>
      <w:r>
        <w:rPr>
          <w:rFonts w:hint="eastAsia" w:ascii="仿宋_GB2312" w:hAnsi="仿宋_GB2312" w:eastAsia="仿宋_GB2312" w:cs="仿宋_GB2312"/>
          <w:sz w:val="32"/>
          <w:szCs w:val="32"/>
        </w:rPr>
        <w:t>分之五收取违约金。</w:t>
      </w:r>
    </w:p>
    <w:p>
      <w:pPr>
        <w:keepNext w:val="0"/>
        <w:keepLines w:val="0"/>
        <w:pageBreakBefore w:val="0"/>
        <w:tabs>
          <w:tab w:val="left" w:pos="630"/>
        </w:tabs>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质保期内，若乙方未按甲方要求履行质保义务，甲方有权另行委托第三方维修并按照修复费用的50%计算违约金，因此发生的一切费用由乙方承担，甲方有权从质量质保金中直接扣除此款，不足部分甲方有权向乙方追偿。</w:t>
      </w:r>
    </w:p>
    <w:p>
      <w:pPr>
        <w:keepNext w:val="0"/>
        <w:keepLines w:val="0"/>
        <w:pageBreakBefore w:val="0"/>
        <w:tabs>
          <w:tab w:val="left" w:pos="630"/>
        </w:tabs>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7.4因乙方违约，甲方为维护自身权益而产生的包括但不限于律师费用、调查费用、诉讼费用（案件受理费、保全费、诉讼担保</w:t>
      </w:r>
      <w:r>
        <w:rPr>
          <w:rFonts w:hint="eastAsia" w:ascii="仿宋_GB2312" w:hAnsi="仿宋_GB2312" w:eastAsia="仿宋_GB2312" w:cs="仿宋_GB2312"/>
          <w:sz w:val="32"/>
          <w:szCs w:val="32"/>
          <w:lang w:val="en-US" w:eastAsia="zh-Hans"/>
        </w:rPr>
        <w:t>或保险</w:t>
      </w:r>
      <w:r>
        <w:rPr>
          <w:rFonts w:hint="eastAsia" w:ascii="仿宋_GB2312" w:hAnsi="仿宋_GB2312" w:eastAsia="仿宋_GB2312" w:cs="仿宋_GB2312"/>
          <w:sz w:val="32"/>
          <w:szCs w:val="32"/>
        </w:rPr>
        <w:t>费、公告费、鉴定费）等费用由乙方承担。</w:t>
      </w:r>
    </w:p>
    <w:p>
      <w:pPr>
        <w:keepNext w:val="0"/>
        <w:keepLines w:val="0"/>
        <w:pageBreakBefore w:val="0"/>
        <w:tabs>
          <w:tab w:val="left" w:pos="630"/>
        </w:tabs>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八、其它事项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8.1本合同执行过程中如有发生争议，甲、乙双方应及时、友好协商解决；协商不成时，双方均可向合同签订地人民法院提请诉讼。</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8.2由于不可抗力因素致使合同无法履行时，双方应及时协商解决。双方关于不可抗力的约定：（1）7级以上的地震；（2）12级以上台风（以厦门市气象台发布的公告为准）；(3)24小时降雨量达到150毫米以上（以厦门市气象台发布的公告为准）；（4）战争、动乱、洪水、空中飞行物坠落或其他非甲乙双方责任造成的爆炸、火灾。</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以下不可预见因素等同于不可抗力：厦门市区级或区级以上人民政府发文内容涉及合同并足以造成甲方无法履行或按约定时间履行合同约定义务的。对以上几种形式应以造成灾害和影响合同履行为准，遇上述不可抗力的一方，应立即将事故情况通报对方，并应在七日内提供详情及合同不能履行或部分不能履行或需要延期履行的理由的有效证明文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8.3双方确认，本合同所填写的名称、住所、电话等信息均准确有效，并作为本方的有效送达地址（如发生纠纷诉讼，该送达地址亦作为诉讼活动中一审、二审、发回重审、执行或再审的有效送达地址）。如一方的联络信息发生变更，该方应当向对方出</w:t>
      </w:r>
      <w:bookmarkStart w:id="144" w:name="_GoBack"/>
      <w:bookmarkEnd w:id="144"/>
      <w:r>
        <w:rPr>
          <w:rFonts w:hint="eastAsia" w:ascii="仿宋_GB2312" w:hAnsi="仿宋_GB2312" w:eastAsia="仿宋_GB2312" w:cs="仿宋_GB2312"/>
          <w:bCs/>
          <w:sz w:val="32"/>
          <w:szCs w:val="32"/>
        </w:rPr>
        <w:t>具书面文件并经对方确认后，变更方为有效。一方按本合同约定的联系方式通知对方，以快递或挂号邮寄方式发出的，寄出后第3日视为送达日；如未能实际送达的，其责任及由此引起的损失，全部由对方自行承担。</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8.4本合同壹式肆份，甲、乙双方各执贰份，自甲、乙双方盖章且法定代表人或委托代理人（委托代理人授权书应作为合同附件）签字或盖章之日起生效，履行完合同所约定的义务后终止。</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8.5本合同未尽事宜，双方可签订补充协议，以及在合同执行过程中双方认可的来往传真、电报、会议纪要等，均视为本合同的组成部分，与本合同具有同等法律效力。</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8.6合同附件：</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甲方（公章）：                     乙方（公章）：</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法定代表人或委托代理人             法定代表人或委托代理人</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（签字或盖章）：                   （签字或盖章）：</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                             住所：</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                         邮政编码：</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联系电话：</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                             传真：</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                         开户银行：</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银行账号：                         银行账号：</w:t>
      </w:r>
    </w:p>
    <w:p>
      <w:pPr>
        <w:keepNext w:val="0"/>
        <w:keepLines w:val="0"/>
        <w:pageBreakBefore w:val="0"/>
        <w:tabs>
          <w:tab w:val="left" w:pos="5103"/>
        </w:tabs>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pPr>
        <w:keepNext w:val="0"/>
        <w:keepLines w:val="0"/>
        <w:pageBreakBefore w:val="0"/>
        <w:tabs>
          <w:tab w:val="left" w:pos="5103"/>
        </w:tabs>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pPr>
        <w:keepNext w:val="0"/>
        <w:keepLines w:val="0"/>
        <w:pageBreakBefore w:val="0"/>
        <w:tabs>
          <w:tab w:val="left" w:pos="5103"/>
        </w:tabs>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合同签订地点：厦门市思明区</w:t>
      </w:r>
    </w:p>
    <w:p>
      <w:pPr>
        <w:keepNext w:val="0"/>
        <w:keepLines w:val="0"/>
        <w:pageBreakBefore w:val="0"/>
        <w:tabs>
          <w:tab w:val="left" w:pos="5103"/>
        </w:tabs>
        <w:kinsoku/>
        <w:wordWrap/>
        <w:overflowPunct/>
        <w:topLinePunct w:val="0"/>
        <w:autoSpaceDE/>
        <w:autoSpaceDN/>
        <w:bidi w:val="0"/>
        <w:adjustRightIn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合同签订日期：   年  月  日</w:t>
      </w:r>
    </w:p>
    <w:sectPr>
      <w:footerReference r:id="rId5" w:type="default"/>
      <w:pgSz w:w="11906" w:h="16838"/>
      <w:pgMar w:top="1418" w:right="1418" w:bottom="141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5"/>
    </w:sdtPr>
    <w:sdtContent>
      <w:p>
        <w:pPr>
          <w:pStyle w:val="13"/>
          <w:jc w:val="center"/>
        </w:pPr>
        <w:r>
          <w:fldChar w:fldCharType="begin"/>
        </w:r>
        <w:r>
          <w:instrText xml:space="preserve"> PAGE   \* MERGEFORMAT </w:instrText>
        </w:r>
        <w:r>
          <w:fldChar w:fldCharType="separate"/>
        </w:r>
        <w:r>
          <w:rPr>
            <w:lang w:val="zh-CN"/>
          </w:rPr>
          <w:t>25</w:t>
        </w:r>
        <w:r>
          <w:rPr>
            <w:lang w:val="zh-CN"/>
          </w:rPr>
          <w:fldChar w:fldCharType="end"/>
        </w: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4"/>
    </w:sdtPr>
    <w:sdtContent>
      <w:p>
        <w:pPr>
          <w:pStyle w:val="13"/>
          <w:jc w:val="center"/>
        </w:pPr>
        <w:r>
          <w:fldChar w:fldCharType="begin"/>
        </w:r>
        <w:r>
          <w:instrText xml:space="preserve"> PAGE   \* MERGEFORMAT </w:instrText>
        </w:r>
        <w:r>
          <w:fldChar w:fldCharType="separate"/>
        </w:r>
        <w:r>
          <w:rPr>
            <w:lang w:val="zh-CN"/>
          </w:rPr>
          <w:t>33</w:t>
        </w:r>
        <w:r>
          <w:rPr>
            <w:lang w:val="zh-CN"/>
          </w:rP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rPr>
      <w:t xml:space="preserve">                                    第</w:t>
    </w:r>
    <w:r>
      <w:fldChar w:fldCharType="begin"/>
    </w:r>
    <w:r>
      <w:rPr>
        <w:rStyle w:val="23"/>
      </w:rPr>
      <w:instrText xml:space="preserve"> PAGE </w:instrText>
    </w:r>
    <w:r>
      <w:fldChar w:fldCharType="separate"/>
    </w:r>
    <w:r>
      <w:rPr>
        <w:rStyle w:val="23"/>
      </w:rPr>
      <w:t>43</w:t>
    </w:r>
    <w:r>
      <w:fldChar w:fldCharType="end"/>
    </w:r>
    <w:r>
      <w:rPr>
        <w:rFonts w:hint="eastAsia"/>
      </w:rPr>
      <w:t>页，共</w:t>
    </w:r>
    <w:r>
      <w:fldChar w:fldCharType="begin"/>
    </w:r>
    <w:r>
      <w:rPr>
        <w:rStyle w:val="23"/>
      </w:rPr>
      <w:instrText xml:space="preserve"> NUMPAGES </w:instrText>
    </w:r>
    <w:r>
      <w:fldChar w:fldCharType="separate"/>
    </w:r>
    <w:r>
      <w:rPr>
        <w:rStyle w:val="23"/>
      </w:rPr>
      <w:t>45</w:t>
    </w:r>
    <w:r>
      <w:fldChar w:fldCharType="end"/>
    </w:r>
    <w:r>
      <w:rPr>
        <w:rFonts w:hint="eastAsia"/>
      </w:rPr>
      <w:t>页</w:t>
    </w:r>
  </w:p>
  <w:p>
    <w:pPr>
      <w:rPr>
        <w:rFonts w:ascii="宋体" w:hAnsi="宋体"/>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23F4B"/>
    <w:multiLevelType w:val="multilevel"/>
    <w:tmpl w:val="40523F4B"/>
    <w:lvl w:ilvl="0" w:tentative="0">
      <w:start w:val="1"/>
      <w:numFmt w:val="decimal"/>
      <w:lvlText w:val="%1、"/>
      <w:lvlJc w:val="left"/>
      <w:pPr>
        <w:ind w:left="1021" w:hanging="420"/>
      </w:pPr>
      <w:rPr>
        <w:rFonts w:hint="eastAsia"/>
      </w:r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abstractNum w:abstractNumId="1">
    <w:nsid w:val="77781A74"/>
    <w:multiLevelType w:val="multilevel"/>
    <w:tmpl w:val="77781A74"/>
    <w:lvl w:ilvl="0" w:tentative="0">
      <w:start w:val="1"/>
      <w:numFmt w:val="decimal"/>
      <w:lvlText w:val="%1."/>
      <w:lvlJc w:val="left"/>
      <w:pPr>
        <w:ind w:left="2020" w:hanging="886"/>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996E48"/>
    <w:rsid w:val="000036AC"/>
    <w:rsid w:val="000038AE"/>
    <w:rsid w:val="000079D5"/>
    <w:rsid w:val="0002102A"/>
    <w:rsid w:val="0002124A"/>
    <w:rsid w:val="000221C9"/>
    <w:rsid w:val="00026BE8"/>
    <w:rsid w:val="00030493"/>
    <w:rsid w:val="000330C5"/>
    <w:rsid w:val="0003351F"/>
    <w:rsid w:val="00033F29"/>
    <w:rsid w:val="00037D4D"/>
    <w:rsid w:val="0005064D"/>
    <w:rsid w:val="00052EEB"/>
    <w:rsid w:val="0006061F"/>
    <w:rsid w:val="00061F00"/>
    <w:rsid w:val="00065580"/>
    <w:rsid w:val="00065FC3"/>
    <w:rsid w:val="000670FF"/>
    <w:rsid w:val="00067FCC"/>
    <w:rsid w:val="000702CD"/>
    <w:rsid w:val="00071898"/>
    <w:rsid w:val="0007582A"/>
    <w:rsid w:val="00076457"/>
    <w:rsid w:val="00082BD9"/>
    <w:rsid w:val="000933C2"/>
    <w:rsid w:val="000A3290"/>
    <w:rsid w:val="000F0394"/>
    <w:rsid w:val="0010588C"/>
    <w:rsid w:val="00105D3B"/>
    <w:rsid w:val="00115871"/>
    <w:rsid w:val="001207FF"/>
    <w:rsid w:val="00121D55"/>
    <w:rsid w:val="001337F3"/>
    <w:rsid w:val="001351B6"/>
    <w:rsid w:val="00136B47"/>
    <w:rsid w:val="00141845"/>
    <w:rsid w:val="00145162"/>
    <w:rsid w:val="00151CCF"/>
    <w:rsid w:val="00165351"/>
    <w:rsid w:val="00167A32"/>
    <w:rsid w:val="00175415"/>
    <w:rsid w:val="00177411"/>
    <w:rsid w:val="001861C8"/>
    <w:rsid w:val="001933F0"/>
    <w:rsid w:val="00196B16"/>
    <w:rsid w:val="001B643C"/>
    <w:rsid w:val="001C0C06"/>
    <w:rsid w:val="001C779C"/>
    <w:rsid w:val="001D3102"/>
    <w:rsid w:val="001F11C0"/>
    <w:rsid w:val="001F195F"/>
    <w:rsid w:val="001F413F"/>
    <w:rsid w:val="00201081"/>
    <w:rsid w:val="00206242"/>
    <w:rsid w:val="00207F76"/>
    <w:rsid w:val="00217F46"/>
    <w:rsid w:val="0022048E"/>
    <w:rsid w:val="00226E40"/>
    <w:rsid w:val="00226F06"/>
    <w:rsid w:val="00230B25"/>
    <w:rsid w:val="00232A6D"/>
    <w:rsid w:val="00236E19"/>
    <w:rsid w:val="00242300"/>
    <w:rsid w:val="00242DCC"/>
    <w:rsid w:val="00243960"/>
    <w:rsid w:val="0024567C"/>
    <w:rsid w:val="00245DFE"/>
    <w:rsid w:val="002463A3"/>
    <w:rsid w:val="0024724E"/>
    <w:rsid w:val="00250E09"/>
    <w:rsid w:val="00250EB6"/>
    <w:rsid w:val="00251CEC"/>
    <w:rsid w:val="002662E5"/>
    <w:rsid w:val="00270D55"/>
    <w:rsid w:val="00275C25"/>
    <w:rsid w:val="00282500"/>
    <w:rsid w:val="002829AE"/>
    <w:rsid w:val="002851B4"/>
    <w:rsid w:val="002A0438"/>
    <w:rsid w:val="002A2B48"/>
    <w:rsid w:val="002B4B1B"/>
    <w:rsid w:val="002B7401"/>
    <w:rsid w:val="002C5118"/>
    <w:rsid w:val="002C51C9"/>
    <w:rsid w:val="002C77E3"/>
    <w:rsid w:val="002D1340"/>
    <w:rsid w:val="002D3762"/>
    <w:rsid w:val="002D416E"/>
    <w:rsid w:val="002D42BD"/>
    <w:rsid w:val="002E2A0B"/>
    <w:rsid w:val="002E2C6F"/>
    <w:rsid w:val="002E5D3C"/>
    <w:rsid w:val="002E7F03"/>
    <w:rsid w:val="002F6864"/>
    <w:rsid w:val="002F790E"/>
    <w:rsid w:val="00300355"/>
    <w:rsid w:val="00302C80"/>
    <w:rsid w:val="0030582C"/>
    <w:rsid w:val="003065F8"/>
    <w:rsid w:val="00311FC3"/>
    <w:rsid w:val="003157F5"/>
    <w:rsid w:val="00321FE8"/>
    <w:rsid w:val="00322F69"/>
    <w:rsid w:val="003236E4"/>
    <w:rsid w:val="00325697"/>
    <w:rsid w:val="00330404"/>
    <w:rsid w:val="003305F0"/>
    <w:rsid w:val="00342F4B"/>
    <w:rsid w:val="00361D73"/>
    <w:rsid w:val="003629AF"/>
    <w:rsid w:val="00367404"/>
    <w:rsid w:val="00372503"/>
    <w:rsid w:val="003738DD"/>
    <w:rsid w:val="00376791"/>
    <w:rsid w:val="003809EC"/>
    <w:rsid w:val="003A2BB2"/>
    <w:rsid w:val="003A3DB2"/>
    <w:rsid w:val="003A49B3"/>
    <w:rsid w:val="003B16E0"/>
    <w:rsid w:val="003C2F25"/>
    <w:rsid w:val="003D62BF"/>
    <w:rsid w:val="003E0673"/>
    <w:rsid w:val="003E1795"/>
    <w:rsid w:val="003E3803"/>
    <w:rsid w:val="003E544D"/>
    <w:rsid w:val="003F0912"/>
    <w:rsid w:val="003F1476"/>
    <w:rsid w:val="003F301F"/>
    <w:rsid w:val="003F3CF6"/>
    <w:rsid w:val="004026C2"/>
    <w:rsid w:val="0040334F"/>
    <w:rsid w:val="004142C7"/>
    <w:rsid w:val="00423701"/>
    <w:rsid w:val="00424D79"/>
    <w:rsid w:val="00430860"/>
    <w:rsid w:val="00436335"/>
    <w:rsid w:val="00437B86"/>
    <w:rsid w:val="00440A65"/>
    <w:rsid w:val="00442695"/>
    <w:rsid w:val="00451B71"/>
    <w:rsid w:val="004608D8"/>
    <w:rsid w:val="00467E82"/>
    <w:rsid w:val="00472016"/>
    <w:rsid w:val="00476701"/>
    <w:rsid w:val="00481496"/>
    <w:rsid w:val="004836EA"/>
    <w:rsid w:val="004933EB"/>
    <w:rsid w:val="00495BBA"/>
    <w:rsid w:val="004963EC"/>
    <w:rsid w:val="004970B0"/>
    <w:rsid w:val="004A554D"/>
    <w:rsid w:val="004B0877"/>
    <w:rsid w:val="004B1FCC"/>
    <w:rsid w:val="004B540D"/>
    <w:rsid w:val="004B63C5"/>
    <w:rsid w:val="004D0F30"/>
    <w:rsid w:val="004D5669"/>
    <w:rsid w:val="004D5F64"/>
    <w:rsid w:val="004F0DB2"/>
    <w:rsid w:val="005037FF"/>
    <w:rsid w:val="0050649A"/>
    <w:rsid w:val="00506B4C"/>
    <w:rsid w:val="005132F8"/>
    <w:rsid w:val="00521AC4"/>
    <w:rsid w:val="0052248A"/>
    <w:rsid w:val="00522E68"/>
    <w:rsid w:val="00536123"/>
    <w:rsid w:val="005453F7"/>
    <w:rsid w:val="00547EF9"/>
    <w:rsid w:val="00551DE4"/>
    <w:rsid w:val="00562C38"/>
    <w:rsid w:val="00563531"/>
    <w:rsid w:val="00564F99"/>
    <w:rsid w:val="0057076A"/>
    <w:rsid w:val="00574514"/>
    <w:rsid w:val="0058123B"/>
    <w:rsid w:val="00585872"/>
    <w:rsid w:val="005941FC"/>
    <w:rsid w:val="005A0A1B"/>
    <w:rsid w:val="005A6E33"/>
    <w:rsid w:val="005B1A75"/>
    <w:rsid w:val="005D6B6E"/>
    <w:rsid w:val="005E59D6"/>
    <w:rsid w:val="005E7B63"/>
    <w:rsid w:val="005F5CB9"/>
    <w:rsid w:val="005F6CC5"/>
    <w:rsid w:val="00603288"/>
    <w:rsid w:val="00603DBE"/>
    <w:rsid w:val="0061377C"/>
    <w:rsid w:val="00620D53"/>
    <w:rsid w:val="0062454D"/>
    <w:rsid w:val="0063269D"/>
    <w:rsid w:val="0063354C"/>
    <w:rsid w:val="00637C47"/>
    <w:rsid w:val="00637F46"/>
    <w:rsid w:val="006404FC"/>
    <w:rsid w:val="00641CCD"/>
    <w:rsid w:val="00643D41"/>
    <w:rsid w:val="006637BF"/>
    <w:rsid w:val="00672F0B"/>
    <w:rsid w:val="00680383"/>
    <w:rsid w:val="00695C0F"/>
    <w:rsid w:val="006A5CD9"/>
    <w:rsid w:val="006B1B81"/>
    <w:rsid w:val="006B4CD4"/>
    <w:rsid w:val="006B5436"/>
    <w:rsid w:val="006B7FC3"/>
    <w:rsid w:val="006C0286"/>
    <w:rsid w:val="006C2C6F"/>
    <w:rsid w:val="006C328A"/>
    <w:rsid w:val="006C53CC"/>
    <w:rsid w:val="006C6BAF"/>
    <w:rsid w:val="006D17B0"/>
    <w:rsid w:val="006D558B"/>
    <w:rsid w:val="006D65BB"/>
    <w:rsid w:val="006E1A2B"/>
    <w:rsid w:val="006E70FB"/>
    <w:rsid w:val="006F1C48"/>
    <w:rsid w:val="006F40FF"/>
    <w:rsid w:val="006F45CC"/>
    <w:rsid w:val="007003ED"/>
    <w:rsid w:val="0070196D"/>
    <w:rsid w:val="00701EC0"/>
    <w:rsid w:val="00710644"/>
    <w:rsid w:val="00712DB9"/>
    <w:rsid w:val="00716214"/>
    <w:rsid w:val="0072493C"/>
    <w:rsid w:val="00726E59"/>
    <w:rsid w:val="00730137"/>
    <w:rsid w:val="00734384"/>
    <w:rsid w:val="0074064A"/>
    <w:rsid w:val="00741D0D"/>
    <w:rsid w:val="007434D9"/>
    <w:rsid w:val="00745A7B"/>
    <w:rsid w:val="007513F5"/>
    <w:rsid w:val="00751B04"/>
    <w:rsid w:val="007609AC"/>
    <w:rsid w:val="0076302C"/>
    <w:rsid w:val="00777FCA"/>
    <w:rsid w:val="00782CC3"/>
    <w:rsid w:val="00783A11"/>
    <w:rsid w:val="00785AA6"/>
    <w:rsid w:val="00790A97"/>
    <w:rsid w:val="0079301A"/>
    <w:rsid w:val="00795FB4"/>
    <w:rsid w:val="00796031"/>
    <w:rsid w:val="00797DEE"/>
    <w:rsid w:val="007A123F"/>
    <w:rsid w:val="007A6DB9"/>
    <w:rsid w:val="007B2286"/>
    <w:rsid w:val="007B7240"/>
    <w:rsid w:val="007C28FE"/>
    <w:rsid w:val="007C486C"/>
    <w:rsid w:val="007C5E87"/>
    <w:rsid w:val="007E1CD2"/>
    <w:rsid w:val="007E310D"/>
    <w:rsid w:val="007F101D"/>
    <w:rsid w:val="008009EF"/>
    <w:rsid w:val="00800D23"/>
    <w:rsid w:val="008069D1"/>
    <w:rsid w:val="0081138B"/>
    <w:rsid w:val="00823A84"/>
    <w:rsid w:val="0082644C"/>
    <w:rsid w:val="00832611"/>
    <w:rsid w:val="00836132"/>
    <w:rsid w:val="008370BC"/>
    <w:rsid w:val="00845BF1"/>
    <w:rsid w:val="00852718"/>
    <w:rsid w:val="00852D32"/>
    <w:rsid w:val="00853E97"/>
    <w:rsid w:val="008666B7"/>
    <w:rsid w:val="008670E6"/>
    <w:rsid w:val="00876704"/>
    <w:rsid w:val="008826A3"/>
    <w:rsid w:val="008932AB"/>
    <w:rsid w:val="008A1E7B"/>
    <w:rsid w:val="008A6370"/>
    <w:rsid w:val="008A79B7"/>
    <w:rsid w:val="008B1CA6"/>
    <w:rsid w:val="008B6079"/>
    <w:rsid w:val="008C313E"/>
    <w:rsid w:val="008E0F3E"/>
    <w:rsid w:val="008F6052"/>
    <w:rsid w:val="00900E19"/>
    <w:rsid w:val="00911173"/>
    <w:rsid w:val="00932A54"/>
    <w:rsid w:val="00935671"/>
    <w:rsid w:val="0094373B"/>
    <w:rsid w:val="009537D4"/>
    <w:rsid w:val="0095501B"/>
    <w:rsid w:val="0097517A"/>
    <w:rsid w:val="009778FF"/>
    <w:rsid w:val="00981F46"/>
    <w:rsid w:val="00996CB5"/>
    <w:rsid w:val="009971B1"/>
    <w:rsid w:val="009A0D75"/>
    <w:rsid w:val="009A158F"/>
    <w:rsid w:val="009B0F1B"/>
    <w:rsid w:val="009B2952"/>
    <w:rsid w:val="009C2E4E"/>
    <w:rsid w:val="009C3D21"/>
    <w:rsid w:val="009C4EE4"/>
    <w:rsid w:val="009C6DF3"/>
    <w:rsid w:val="009C7C6B"/>
    <w:rsid w:val="009D239D"/>
    <w:rsid w:val="009D2532"/>
    <w:rsid w:val="009E0F9F"/>
    <w:rsid w:val="009E2118"/>
    <w:rsid w:val="009E2173"/>
    <w:rsid w:val="009E4653"/>
    <w:rsid w:val="009E63CE"/>
    <w:rsid w:val="009F74D4"/>
    <w:rsid w:val="00A05A15"/>
    <w:rsid w:val="00A068D5"/>
    <w:rsid w:val="00A07836"/>
    <w:rsid w:val="00A1209C"/>
    <w:rsid w:val="00A15ED7"/>
    <w:rsid w:val="00A15F42"/>
    <w:rsid w:val="00A17135"/>
    <w:rsid w:val="00A1754A"/>
    <w:rsid w:val="00A2045E"/>
    <w:rsid w:val="00A21D88"/>
    <w:rsid w:val="00A24D32"/>
    <w:rsid w:val="00A33775"/>
    <w:rsid w:val="00A43D47"/>
    <w:rsid w:val="00A44CB2"/>
    <w:rsid w:val="00A46E23"/>
    <w:rsid w:val="00A51C12"/>
    <w:rsid w:val="00A65A65"/>
    <w:rsid w:val="00A716F7"/>
    <w:rsid w:val="00A747E8"/>
    <w:rsid w:val="00A80EC8"/>
    <w:rsid w:val="00A92EAA"/>
    <w:rsid w:val="00A977A0"/>
    <w:rsid w:val="00AA0059"/>
    <w:rsid w:val="00AA6DB1"/>
    <w:rsid w:val="00AB1B70"/>
    <w:rsid w:val="00AB3610"/>
    <w:rsid w:val="00AB56BC"/>
    <w:rsid w:val="00AB7995"/>
    <w:rsid w:val="00AC400D"/>
    <w:rsid w:val="00AC6B18"/>
    <w:rsid w:val="00AD3DBD"/>
    <w:rsid w:val="00AD4471"/>
    <w:rsid w:val="00AD7F1A"/>
    <w:rsid w:val="00AE2CEA"/>
    <w:rsid w:val="00AF6C65"/>
    <w:rsid w:val="00B000B7"/>
    <w:rsid w:val="00B013A1"/>
    <w:rsid w:val="00B044A4"/>
    <w:rsid w:val="00B05290"/>
    <w:rsid w:val="00B076AB"/>
    <w:rsid w:val="00B13557"/>
    <w:rsid w:val="00B16AAC"/>
    <w:rsid w:val="00B26B35"/>
    <w:rsid w:val="00B33F7D"/>
    <w:rsid w:val="00B40568"/>
    <w:rsid w:val="00B41008"/>
    <w:rsid w:val="00B4193F"/>
    <w:rsid w:val="00B469D0"/>
    <w:rsid w:val="00B51CFC"/>
    <w:rsid w:val="00B548AD"/>
    <w:rsid w:val="00B61246"/>
    <w:rsid w:val="00B62D3E"/>
    <w:rsid w:val="00B70712"/>
    <w:rsid w:val="00B80792"/>
    <w:rsid w:val="00B82AE8"/>
    <w:rsid w:val="00B82F6E"/>
    <w:rsid w:val="00B8397A"/>
    <w:rsid w:val="00B8451B"/>
    <w:rsid w:val="00B91EAA"/>
    <w:rsid w:val="00B92272"/>
    <w:rsid w:val="00BA4150"/>
    <w:rsid w:val="00BA6FAE"/>
    <w:rsid w:val="00BB75DA"/>
    <w:rsid w:val="00BC02FC"/>
    <w:rsid w:val="00BC3F6C"/>
    <w:rsid w:val="00BC5429"/>
    <w:rsid w:val="00BD1EEF"/>
    <w:rsid w:val="00BD4F12"/>
    <w:rsid w:val="00BE78D3"/>
    <w:rsid w:val="00BE7967"/>
    <w:rsid w:val="00BF6124"/>
    <w:rsid w:val="00C0381A"/>
    <w:rsid w:val="00C12FA5"/>
    <w:rsid w:val="00C13216"/>
    <w:rsid w:val="00C16D46"/>
    <w:rsid w:val="00C212AC"/>
    <w:rsid w:val="00C2371D"/>
    <w:rsid w:val="00C23F3F"/>
    <w:rsid w:val="00C32CC4"/>
    <w:rsid w:val="00C3410C"/>
    <w:rsid w:val="00C34ABC"/>
    <w:rsid w:val="00C34CB3"/>
    <w:rsid w:val="00C35545"/>
    <w:rsid w:val="00C3688B"/>
    <w:rsid w:val="00C43098"/>
    <w:rsid w:val="00C47720"/>
    <w:rsid w:val="00C47E8A"/>
    <w:rsid w:val="00C81ECE"/>
    <w:rsid w:val="00C8555A"/>
    <w:rsid w:val="00C90489"/>
    <w:rsid w:val="00C957CF"/>
    <w:rsid w:val="00C95F7B"/>
    <w:rsid w:val="00CA5A43"/>
    <w:rsid w:val="00CA78F8"/>
    <w:rsid w:val="00CB2E0C"/>
    <w:rsid w:val="00CC1E47"/>
    <w:rsid w:val="00CC3592"/>
    <w:rsid w:val="00CD6FF8"/>
    <w:rsid w:val="00CE3697"/>
    <w:rsid w:val="00CE4BCB"/>
    <w:rsid w:val="00CE5F88"/>
    <w:rsid w:val="00CF22E3"/>
    <w:rsid w:val="00CF3860"/>
    <w:rsid w:val="00CF55B6"/>
    <w:rsid w:val="00CF6DB8"/>
    <w:rsid w:val="00D059AC"/>
    <w:rsid w:val="00D05BC5"/>
    <w:rsid w:val="00D14830"/>
    <w:rsid w:val="00D14E2B"/>
    <w:rsid w:val="00D206EE"/>
    <w:rsid w:val="00D21F74"/>
    <w:rsid w:val="00D2657D"/>
    <w:rsid w:val="00D3201F"/>
    <w:rsid w:val="00D330E6"/>
    <w:rsid w:val="00D330FC"/>
    <w:rsid w:val="00D36343"/>
    <w:rsid w:val="00D44AB0"/>
    <w:rsid w:val="00D45895"/>
    <w:rsid w:val="00D61C9C"/>
    <w:rsid w:val="00D63566"/>
    <w:rsid w:val="00D6700A"/>
    <w:rsid w:val="00D825AB"/>
    <w:rsid w:val="00D844A1"/>
    <w:rsid w:val="00D86625"/>
    <w:rsid w:val="00D91550"/>
    <w:rsid w:val="00D9361C"/>
    <w:rsid w:val="00DA5190"/>
    <w:rsid w:val="00DA687D"/>
    <w:rsid w:val="00DC17E1"/>
    <w:rsid w:val="00DD05A7"/>
    <w:rsid w:val="00DD7764"/>
    <w:rsid w:val="00DD7DE5"/>
    <w:rsid w:val="00DF693A"/>
    <w:rsid w:val="00DF6975"/>
    <w:rsid w:val="00E00464"/>
    <w:rsid w:val="00E04A64"/>
    <w:rsid w:val="00E1520D"/>
    <w:rsid w:val="00E1552B"/>
    <w:rsid w:val="00E1626B"/>
    <w:rsid w:val="00E20564"/>
    <w:rsid w:val="00E22F89"/>
    <w:rsid w:val="00E246B7"/>
    <w:rsid w:val="00E459EB"/>
    <w:rsid w:val="00E568E3"/>
    <w:rsid w:val="00E56CF4"/>
    <w:rsid w:val="00E5746B"/>
    <w:rsid w:val="00E714B2"/>
    <w:rsid w:val="00E83284"/>
    <w:rsid w:val="00E93366"/>
    <w:rsid w:val="00E93C2B"/>
    <w:rsid w:val="00EA582A"/>
    <w:rsid w:val="00EB184D"/>
    <w:rsid w:val="00EC34A4"/>
    <w:rsid w:val="00EC67B2"/>
    <w:rsid w:val="00EE08BE"/>
    <w:rsid w:val="00EE254D"/>
    <w:rsid w:val="00EF0C5E"/>
    <w:rsid w:val="00EF2C7E"/>
    <w:rsid w:val="00F00E9F"/>
    <w:rsid w:val="00F12EC9"/>
    <w:rsid w:val="00F17413"/>
    <w:rsid w:val="00F20D59"/>
    <w:rsid w:val="00F31084"/>
    <w:rsid w:val="00F40E0C"/>
    <w:rsid w:val="00F45F96"/>
    <w:rsid w:val="00F53614"/>
    <w:rsid w:val="00F56DF3"/>
    <w:rsid w:val="00F65625"/>
    <w:rsid w:val="00F65EB7"/>
    <w:rsid w:val="00F71E9C"/>
    <w:rsid w:val="00F727E3"/>
    <w:rsid w:val="00F9001A"/>
    <w:rsid w:val="00F94300"/>
    <w:rsid w:val="00F94C66"/>
    <w:rsid w:val="00FA6815"/>
    <w:rsid w:val="00FA6965"/>
    <w:rsid w:val="00FB3152"/>
    <w:rsid w:val="00FD00ED"/>
    <w:rsid w:val="00FD108F"/>
    <w:rsid w:val="00FE5664"/>
    <w:rsid w:val="00FF1F60"/>
    <w:rsid w:val="0FD20E46"/>
    <w:rsid w:val="164B14D0"/>
    <w:rsid w:val="1EA7340E"/>
    <w:rsid w:val="25CC62CB"/>
    <w:rsid w:val="270F58A0"/>
    <w:rsid w:val="274230A2"/>
    <w:rsid w:val="2A621DF3"/>
    <w:rsid w:val="32447097"/>
    <w:rsid w:val="384F0A43"/>
    <w:rsid w:val="38C64849"/>
    <w:rsid w:val="446C7991"/>
    <w:rsid w:val="46100223"/>
    <w:rsid w:val="50E26B91"/>
    <w:rsid w:val="55017B08"/>
    <w:rsid w:val="568162E9"/>
    <w:rsid w:val="619E038C"/>
    <w:rsid w:val="66CF4987"/>
    <w:rsid w:val="677012E4"/>
    <w:rsid w:val="71996E48"/>
    <w:rsid w:val="73E53BE6"/>
    <w:rsid w:val="7944647B"/>
    <w:rsid w:val="796A74D7"/>
    <w:rsid w:val="79774869"/>
    <w:rsid w:val="7A7B5CE7"/>
    <w:rsid w:val="7D653A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b/>
      <w:bCs/>
      <w:kern w:val="44"/>
      <w:sz w:val="32"/>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0"/>
      <w:szCs w:val="32"/>
    </w:rPr>
  </w:style>
  <w:style w:type="paragraph" w:styleId="4">
    <w:name w:val="heading 3"/>
    <w:basedOn w:val="1"/>
    <w:next w:val="1"/>
    <w:qFormat/>
    <w:uiPriority w:val="0"/>
    <w:pPr>
      <w:keepNext/>
      <w:keepLines/>
      <w:spacing w:before="260" w:after="260" w:line="415" w:lineRule="auto"/>
      <w:outlineLvl w:val="2"/>
    </w:pPr>
    <w:rPr>
      <w:rFonts w:eastAsia="黑体"/>
      <w:b/>
      <w:bCs/>
      <w:sz w:val="28"/>
      <w:szCs w:val="32"/>
    </w:rPr>
  </w:style>
  <w:style w:type="paragraph" w:styleId="5">
    <w:name w:val="heading 7"/>
    <w:basedOn w:val="1"/>
    <w:next w:val="6"/>
    <w:qFormat/>
    <w:uiPriority w:val="0"/>
    <w:pPr>
      <w:keepNext/>
      <w:keepLines/>
      <w:spacing w:before="240" w:after="64" w:line="319" w:lineRule="auto"/>
      <w:outlineLvl w:val="6"/>
    </w:pPr>
    <w:rPr>
      <w:b/>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widowControl/>
      <w:ind w:left="425"/>
      <w:jc w:val="left"/>
    </w:pPr>
    <w:rPr>
      <w:kern w:val="0"/>
      <w:sz w:val="20"/>
      <w:szCs w:val="20"/>
      <w:lang w:eastAsia="en-US"/>
    </w:rPr>
  </w:style>
  <w:style w:type="paragraph" w:styleId="7">
    <w:name w:val="annotation text"/>
    <w:basedOn w:val="1"/>
    <w:link w:val="35"/>
    <w:qFormat/>
    <w:uiPriority w:val="0"/>
    <w:pPr>
      <w:jc w:val="left"/>
    </w:pPr>
  </w:style>
  <w:style w:type="paragraph" w:styleId="8">
    <w:name w:val="Body Text"/>
    <w:basedOn w:val="1"/>
    <w:qFormat/>
    <w:uiPriority w:val="0"/>
    <w:rPr>
      <w:color w:val="FF0000"/>
    </w:rPr>
  </w:style>
  <w:style w:type="paragraph" w:styleId="9">
    <w:name w:val="toc 3"/>
    <w:basedOn w:val="1"/>
    <w:next w:val="1"/>
    <w:qFormat/>
    <w:uiPriority w:val="39"/>
    <w:pPr>
      <w:spacing w:line="360" w:lineRule="auto"/>
      <w:ind w:left="420"/>
      <w:jc w:val="left"/>
    </w:pPr>
    <w:rPr>
      <w:iCs/>
      <w:sz w:val="24"/>
      <w:szCs w:val="20"/>
    </w:rPr>
  </w:style>
  <w:style w:type="paragraph" w:styleId="10">
    <w:name w:val="Plain Text"/>
    <w:basedOn w:val="1"/>
    <w:link w:val="37"/>
    <w:qFormat/>
    <w:uiPriority w:val="0"/>
    <w:rPr>
      <w:rFonts w:ascii="宋体" w:hAnsi="Courier New" w:cs="Courier New"/>
      <w:szCs w:val="21"/>
    </w:rPr>
  </w:style>
  <w:style w:type="paragraph" w:styleId="11">
    <w:name w:val="Date"/>
    <w:basedOn w:val="1"/>
    <w:next w:val="1"/>
    <w:link w:val="42"/>
    <w:qFormat/>
    <w:uiPriority w:val="0"/>
    <w:pPr>
      <w:ind w:left="100" w:leftChars="2500"/>
    </w:pPr>
  </w:style>
  <w:style w:type="paragraph" w:styleId="12">
    <w:name w:val="Balloon Text"/>
    <w:basedOn w:val="1"/>
    <w:link w:val="33"/>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line="360" w:lineRule="auto"/>
      <w:jc w:val="left"/>
    </w:pPr>
    <w:rPr>
      <w:b/>
      <w:bCs/>
      <w:caps/>
      <w:sz w:val="24"/>
      <w:szCs w:val="20"/>
    </w:rPr>
  </w:style>
  <w:style w:type="paragraph" w:styleId="16">
    <w:name w:val="toc 2"/>
    <w:basedOn w:val="1"/>
    <w:next w:val="1"/>
    <w:qFormat/>
    <w:uiPriority w:val="39"/>
    <w:pPr>
      <w:spacing w:line="360" w:lineRule="auto"/>
      <w:ind w:left="210"/>
      <w:jc w:val="left"/>
    </w:pPr>
    <w:rPr>
      <w:smallCaps/>
      <w:sz w:val="24"/>
      <w:szCs w:val="20"/>
    </w:rPr>
  </w:style>
  <w:style w:type="paragraph" w:styleId="17">
    <w:name w:val="Normal (Web)"/>
    <w:basedOn w:val="1"/>
    <w:qFormat/>
    <w:uiPriority w:val="99"/>
    <w:pPr>
      <w:spacing w:line="300" w:lineRule="auto"/>
    </w:pPr>
    <w:rPr>
      <w:sz w:val="24"/>
    </w:rPr>
  </w:style>
  <w:style w:type="paragraph" w:styleId="18">
    <w:name w:val="annotation subject"/>
    <w:basedOn w:val="7"/>
    <w:next w:val="7"/>
    <w:link w:val="36"/>
    <w:qFormat/>
    <w:uiPriority w:val="0"/>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Strong"/>
    <w:qFormat/>
    <w:uiPriority w:val="22"/>
    <w:rPr>
      <w:b/>
      <w:bCs/>
    </w:rPr>
  </w:style>
  <w:style w:type="character" w:styleId="23">
    <w:name w:val="page number"/>
    <w:basedOn w:val="21"/>
    <w:qFormat/>
    <w:uiPriority w:val="0"/>
  </w:style>
  <w:style w:type="character" w:styleId="24">
    <w:name w:val="FollowedHyperlink"/>
    <w:basedOn w:val="21"/>
    <w:qFormat/>
    <w:uiPriority w:val="0"/>
    <w:rPr>
      <w:color w:val="954F72" w:themeColor="followedHyperlink"/>
      <w:u w:val="single"/>
      <w14:textFill>
        <w14:solidFill>
          <w14:schemeClr w14:val="folHlink"/>
        </w14:solidFill>
      </w14:textFill>
    </w:rPr>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styleId="27">
    <w:name w:val="List Paragraph"/>
    <w:basedOn w:val="1"/>
    <w:qFormat/>
    <w:uiPriority w:val="99"/>
    <w:pPr>
      <w:ind w:firstLine="420" w:firstLineChars="200"/>
    </w:pPr>
  </w:style>
  <w:style w:type="paragraph" w:customStyle="1" w:styleId="28">
    <w:name w:val="表头文本"/>
    <w:basedOn w:val="1"/>
    <w:qFormat/>
    <w:uiPriority w:val="0"/>
    <w:pPr>
      <w:autoSpaceDE w:val="0"/>
      <w:autoSpaceDN w:val="0"/>
      <w:adjustRightInd w:val="0"/>
      <w:jc w:val="center"/>
    </w:pPr>
    <w:rPr>
      <w:b/>
      <w:kern w:val="0"/>
      <w:sz w:val="24"/>
      <w:szCs w:val="20"/>
    </w:rPr>
  </w:style>
  <w:style w:type="paragraph" w:customStyle="1" w:styleId="2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0">
    <w:name w:val="样式3"/>
    <w:basedOn w:val="10"/>
    <w:qFormat/>
    <w:uiPriority w:val="0"/>
    <w:pPr>
      <w:spacing w:line="0" w:lineRule="atLeast"/>
      <w:outlineLvl w:val="0"/>
    </w:pPr>
    <w:rPr>
      <w:rFonts w:cs="Times New Roman"/>
      <w:sz w:val="28"/>
      <w:szCs w:val="20"/>
    </w:rPr>
  </w:style>
  <w:style w:type="paragraph" w:customStyle="1" w:styleId="31">
    <w:name w:val="Table Paragraph"/>
    <w:basedOn w:val="1"/>
    <w:qFormat/>
    <w:uiPriority w:val="1"/>
    <w:pPr>
      <w:jc w:val="left"/>
    </w:pPr>
    <w:rPr>
      <w:rFonts w:ascii="Calibri" w:hAnsi="Calibri"/>
      <w:kern w:val="0"/>
      <w:sz w:val="22"/>
      <w:szCs w:val="22"/>
      <w:lang w:eastAsia="en-US"/>
    </w:rPr>
  </w:style>
  <w:style w:type="paragraph" w:customStyle="1" w:styleId="32">
    <w:name w:val="样式2"/>
    <w:basedOn w:val="13"/>
    <w:qFormat/>
    <w:uiPriority w:val="0"/>
    <w:pPr>
      <w:ind w:right="360"/>
    </w:pPr>
    <w:rPr>
      <w:rFonts w:ascii="宋体" w:hAnsi="宋体"/>
      <w:sz w:val="21"/>
      <w:szCs w:val="21"/>
    </w:rPr>
  </w:style>
  <w:style w:type="character" w:customStyle="1" w:styleId="33">
    <w:name w:val="批注框文本 字符"/>
    <w:basedOn w:val="21"/>
    <w:link w:val="12"/>
    <w:qFormat/>
    <w:uiPriority w:val="0"/>
    <w:rPr>
      <w:rFonts w:ascii="Times New Roman" w:hAnsi="Times New Roman"/>
      <w:kern w:val="2"/>
      <w:sz w:val="18"/>
      <w:szCs w:val="18"/>
    </w:rPr>
  </w:style>
  <w:style w:type="character" w:customStyle="1" w:styleId="34">
    <w:name w:val="页眉 字符"/>
    <w:basedOn w:val="21"/>
    <w:link w:val="14"/>
    <w:qFormat/>
    <w:uiPriority w:val="0"/>
    <w:rPr>
      <w:rFonts w:ascii="Times New Roman" w:hAnsi="Times New Roman"/>
      <w:kern w:val="2"/>
      <w:sz w:val="18"/>
      <w:szCs w:val="18"/>
    </w:rPr>
  </w:style>
  <w:style w:type="character" w:customStyle="1" w:styleId="35">
    <w:name w:val="批注文字 字符"/>
    <w:basedOn w:val="21"/>
    <w:link w:val="7"/>
    <w:qFormat/>
    <w:uiPriority w:val="0"/>
    <w:rPr>
      <w:rFonts w:ascii="Times New Roman" w:hAnsi="Times New Roman"/>
      <w:kern w:val="2"/>
      <w:sz w:val="21"/>
      <w:szCs w:val="24"/>
    </w:rPr>
  </w:style>
  <w:style w:type="character" w:customStyle="1" w:styleId="36">
    <w:name w:val="批注主题 字符"/>
    <w:basedOn w:val="35"/>
    <w:link w:val="18"/>
    <w:qFormat/>
    <w:uiPriority w:val="0"/>
    <w:rPr>
      <w:rFonts w:ascii="Times New Roman" w:hAnsi="Times New Roman"/>
      <w:kern w:val="2"/>
      <w:sz w:val="21"/>
      <w:szCs w:val="24"/>
    </w:rPr>
  </w:style>
  <w:style w:type="character" w:customStyle="1" w:styleId="37">
    <w:name w:val="纯文本 字符"/>
    <w:basedOn w:val="21"/>
    <w:link w:val="10"/>
    <w:qFormat/>
    <w:uiPriority w:val="0"/>
    <w:rPr>
      <w:rFonts w:ascii="宋体" w:hAnsi="Courier New" w:cs="Courier New"/>
      <w:kern w:val="2"/>
      <w:sz w:val="21"/>
      <w:szCs w:val="21"/>
    </w:rPr>
  </w:style>
  <w:style w:type="paragraph" w:customStyle="1" w:styleId="38">
    <w:name w:val="列出段落2"/>
    <w:basedOn w:val="1"/>
    <w:qFormat/>
    <w:uiPriority w:val="34"/>
    <w:pPr>
      <w:widowControl/>
      <w:ind w:firstLine="420" w:firstLineChars="200"/>
    </w:pPr>
    <w:rPr>
      <w:szCs w:val="20"/>
    </w:rPr>
  </w:style>
  <w:style w:type="paragraph" w:customStyle="1" w:styleId="39">
    <w:name w:val="列出段落1"/>
    <w:basedOn w:val="1"/>
    <w:link w:val="40"/>
    <w:qFormat/>
    <w:uiPriority w:val="34"/>
    <w:pPr>
      <w:ind w:firstLine="420" w:firstLineChars="200"/>
    </w:pPr>
    <w:rPr>
      <w:rFonts w:asciiTheme="minorHAnsi" w:hAnsiTheme="minorHAnsi" w:eastAsiaTheme="minorEastAsia" w:cstheme="minorBidi"/>
      <w:sz w:val="24"/>
    </w:rPr>
  </w:style>
  <w:style w:type="character" w:customStyle="1" w:styleId="40">
    <w:name w:val="列表段落 字符"/>
    <w:basedOn w:val="21"/>
    <w:link w:val="39"/>
    <w:qFormat/>
    <w:uiPriority w:val="34"/>
    <w:rPr>
      <w:rFonts w:asciiTheme="minorHAnsi" w:hAnsiTheme="minorHAnsi" w:eastAsiaTheme="minorEastAsia" w:cstheme="minorBidi"/>
      <w:kern w:val="2"/>
      <w:sz w:val="24"/>
      <w:szCs w:val="24"/>
    </w:rPr>
  </w:style>
  <w:style w:type="table" w:customStyle="1" w:styleId="41">
    <w:name w:val="网格型1"/>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2">
    <w:name w:val="日期 字符"/>
    <w:basedOn w:val="21"/>
    <w:link w:val="11"/>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E634FC-F69B-40FD-843C-DD0856DC645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29980</Words>
  <Characters>8175</Characters>
  <Lines>68</Lines>
  <Paragraphs>76</Paragraphs>
  <TotalTime>2</TotalTime>
  <ScaleCrop>false</ScaleCrop>
  <LinksUpToDate>false</LinksUpToDate>
  <CharactersWithSpaces>38079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2022-08-10T07:09:00Z</dcterms:created>
  <dc:creator>国贸物业招标办</dc:creator>
  <cp:lastModifiedBy>gt2</cp:lastModifiedBy>
  <dcterms:modified xsi:type="dcterms:W3CDTF">2022-08-11T08:49:35Z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