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olor w:val="000000"/>
          <w:sz w:val="36"/>
        </w:rPr>
      </w:pPr>
    </w:p>
    <w:p>
      <w:pPr>
        <w:jc w:val="left"/>
        <w:rPr>
          <w:rFonts w:ascii="宋体" w:hAnsi="宋体"/>
          <w:color w:val="000000"/>
          <w:sz w:val="36"/>
        </w:rPr>
      </w:pPr>
    </w:p>
    <w:p>
      <w:pPr>
        <w:jc w:val="left"/>
        <w:rPr>
          <w:rFonts w:ascii="宋体" w:hAnsi="宋体"/>
          <w:color w:val="000000"/>
          <w:sz w:val="36"/>
        </w:rPr>
      </w:pPr>
    </w:p>
    <w:p>
      <w:pPr>
        <w:jc w:val="left"/>
        <w:rPr>
          <w:rFonts w:ascii="宋体" w:hAnsi="宋体"/>
          <w:color w:val="000000"/>
          <w:sz w:val="84"/>
          <w:szCs w:val="84"/>
        </w:rPr>
      </w:pPr>
    </w:p>
    <w:p>
      <w:pPr>
        <w:jc w:val="center"/>
        <w:rPr>
          <w:rFonts w:ascii="宋体" w:hAnsi="宋体"/>
          <w:color w:val="000000"/>
          <w:sz w:val="84"/>
          <w:szCs w:val="84"/>
        </w:rPr>
      </w:pPr>
      <w:r>
        <w:rPr>
          <w:rFonts w:hint="eastAsia" w:ascii="宋体" w:hAnsi="宋体"/>
          <w:color w:val="000000"/>
          <w:sz w:val="84"/>
          <w:szCs w:val="84"/>
        </w:rPr>
        <w:t>思明控股集团采购文件</w:t>
      </w:r>
    </w:p>
    <w:p>
      <w:pPr>
        <w:jc w:val="left"/>
        <w:rPr>
          <w:rFonts w:ascii="宋体" w:hAnsi="宋体"/>
          <w:color w:val="000000"/>
          <w:sz w:val="36"/>
        </w:rPr>
      </w:pPr>
    </w:p>
    <w:p>
      <w:pPr>
        <w:ind w:left="2238" w:leftChars="304" w:hanging="1600" w:hangingChars="500"/>
        <w:rPr>
          <w:rFonts w:ascii="宋体" w:hAnsi="宋体"/>
          <w:color w:val="000000"/>
          <w:sz w:val="32"/>
          <w:szCs w:val="32"/>
        </w:rPr>
      </w:pPr>
    </w:p>
    <w:p>
      <w:pPr>
        <w:ind w:left="2238" w:leftChars="304" w:hanging="1600" w:hangingChars="500"/>
        <w:rPr>
          <w:rFonts w:ascii="宋体" w:hAnsi="宋体"/>
          <w:color w:val="000000"/>
          <w:sz w:val="32"/>
          <w:szCs w:val="32"/>
        </w:rPr>
      </w:pPr>
      <w:r>
        <w:rPr>
          <w:rFonts w:hint="eastAsia" w:ascii="宋体" w:hAnsi="宋体"/>
          <w:color w:val="000000"/>
          <w:sz w:val="32"/>
          <w:szCs w:val="32"/>
        </w:rPr>
        <w:t>采购项目：思明控股员工职涯体系、薪酬体系、绩效与激励办法咨询项目</w:t>
      </w:r>
    </w:p>
    <w:p>
      <w:pPr>
        <w:ind w:firstLine="640" w:firstLineChars="200"/>
        <w:rPr>
          <w:rFonts w:ascii="宋体" w:hAnsi="宋体"/>
          <w:color w:val="000000"/>
          <w:sz w:val="32"/>
          <w:szCs w:val="32"/>
        </w:rPr>
      </w:pPr>
      <w:r>
        <w:rPr>
          <w:rFonts w:hint="eastAsia" w:ascii="宋体" w:hAnsi="宋体"/>
          <w:color w:val="000000"/>
          <w:sz w:val="32"/>
          <w:szCs w:val="32"/>
        </w:rPr>
        <w:t>采购方式：竞争性磋商</w:t>
      </w:r>
    </w:p>
    <w:p>
      <w:pPr>
        <w:jc w:val="left"/>
        <w:rPr>
          <w:rFonts w:ascii="宋体" w:hAnsi="宋体"/>
          <w:color w:val="000000"/>
          <w:sz w:val="36"/>
        </w:rPr>
      </w:pPr>
    </w:p>
    <w:p>
      <w:pPr>
        <w:jc w:val="left"/>
        <w:rPr>
          <w:rFonts w:ascii="宋体" w:hAnsi="宋体"/>
          <w:color w:val="000000"/>
          <w:sz w:val="36"/>
        </w:rPr>
      </w:pPr>
    </w:p>
    <w:p>
      <w:pPr>
        <w:jc w:val="left"/>
        <w:rPr>
          <w:rFonts w:ascii="宋体" w:hAnsi="宋体"/>
          <w:color w:val="000000"/>
          <w:sz w:val="36"/>
        </w:rPr>
      </w:pPr>
    </w:p>
    <w:p>
      <w:pPr>
        <w:pStyle w:val="2"/>
        <w:ind w:firstLine="720" w:firstLineChars="200"/>
        <w:rPr>
          <w:rFonts w:ascii="宋体" w:hAnsi="宋体"/>
          <w:color w:val="000000"/>
          <w:sz w:val="36"/>
        </w:rPr>
      </w:pPr>
      <w:r>
        <w:rPr>
          <w:rFonts w:hint="eastAsia" w:ascii="宋体" w:hAnsi="宋体"/>
          <w:color w:val="000000"/>
          <w:sz w:val="36"/>
        </w:rPr>
        <w:t xml:space="preserve">2022年8月 </w:t>
      </w:r>
    </w:p>
    <w:p>
      <w:pPr>
        <w:pStyle w:val="2"/>
        <w:rPr>
          <w:rFonts w:ascii="宋体" w:hAnsi="宋体"/>
          <w:color w:val="000000"/>
          <w:sz w:val="36"/>
        </w:rPr>
      </w:pPr>
    </w:p>
    <w:p>
      <w:pPr>
        <w:jc w:val="left"/>
        <w:rPr>
          <w:rFonts w:ascii="宋体" w:hAnsi="宋体"/>
          <w:color w:val="000000"/>
          <w:sz w:val="36"/>
        </w:rPr>
      </w:pPr>
    </w:p>
    <w:p>
      <w:pPr>
        <w:jc w:val="left"/>
        <w:rPr>
          <w:rFonts w:ascii="宋体" w:hAnsi="宋体"/>
          <w:color w:val="000000"/>
          <w:sz w:val="36"/>
        </w:rPr>
      </w:pPr>
    </w:p>
    <w:p>
      <w:pPr>
        <w:jc w:val="center"/>
        <w:rPr>
          <w:rFonts w:ascii="宋体" w:hAnsi="宋体" w:cs="Times New Roman"/>
          <w:kern w:val="0"/>
          <w:sz w:val="20"/>
        </w:rPr>
      </w:pPr>
    </w:p>
    <w:p>
      <w:pPr>
        <w:jc w:val="center"/>
        <w:rPr>
          <w:rFonts w:ascii="宋体" w:hAnsi="宋体"/>
        </w:rPr>
        <w:sectPr>
          <w:headerReference r:id="rId3" w:type="default"/>
          <w:footerReference r:id="rId4" w:type="default"/>
          <w:pgSz w:w="11850" w:h="16783"/>
          <w:pgMar w:top="1310" w:right="1361" w:bottom="1145" w:left="1764" w:header="720" w:footer="720" w:gutter="0"/>
          <w:cols w:space="720" w:num="1"/>
          <w:docGrid w:type="lines" w:linePitch="312" w:charSpace="0"/>
        </w:sectPr>
      </w:pPr>
    </w:p>
    <w:sdt>
      <w:sdtPr>
        <w:rPr>
          <w:rFonts w:ascii="宋体" w:hAnsi="宋体"/>
          <w:b/>
          <w:bCs/>
          <w:kern w:val="44"/>
          <w:sz w:val="44"/>
          <w:szCs w:val="44"/>
        </w:rPr>
        <w:id w:val="147465170"/>
      </w:sdtPr>
      <w:sdtEndPr>
        <w:rPr>
          <w:rFonts w:ascii="Times New Roman" w:hAnsi="Times New Roman" w:cs="Times New Roman"/>
          <w:b/>
          <w:bCs/>
          <w:kern w:val="44"/>
          <w:sz w:val="44"/>
          <w:szCs w:val="44"/>
        </w:rPr>
      </w:sdtEndPr>
      <w:sdtContent>
        <w:p>
          <w:pPr>
            <w:jc w:val="center"/>
          </w:pPr>
          <w:r>
            <w:rPr>
              <w:rFonts w:ascii="宋体" w:hAnsi="宋体"/>
            </w:rPr>
            <w:t>目录</w:t>
          </w:r>
        </w:p>
        <w:p>
          <w:pPr>
            <w:pStyle w:val="40"/>
            <w:tabs>
              <w:tab w:val="right" w:leader="dot" w:pos="9115"/>
            </w:tabs>
          </w:pPr>
          <w:r>
            <w:fldChar w:fldCharType="begin"/>
          </w:r>
          <w:r>
            <w:instrText xml:space="preserve"> HYPERLINK \l "_Toc8296_WPSOffice_Level1" </w:instrText>
          </w:r>
          <w:r>
            <w:fldChar w:fldCharType="separate"/>
          </w:r>
          <w:r>
            <w:rPr>
              <w:rFonts w:hint="eastAsia" w:ascii="方正小标宋简体" w:hAnsi="方正小标宋简体" w:eastAsia="方正小标宋简体" w:cs="方正小标宋简体"/>
            </w:rPr>
            <w:t>第一部分 响应须知</w:t>
          </w:r>
          <w:r>
            <w:tab/>
          </w:r>
          <w:bookmarkStart w:id="0" w:name="_Toc8296_WPSOffice_Level1Page"/>
          <w:r>
            <w:t>5</w:t>
          </w:r>
          <w:bookmarkEnd w:id="0"/>
          <w:r>
            <w:fldChar w:fldCharType="end"/>
          </w:r>
        </w:p>
        <w:p>
          <w:pPr>
            <w:pStyle w:val="41"/>
            <w:tabs>
              <w:tab w:val="right" w:leader="dot" w:pos="9115"/>
            </w:tabs>
            <w:ind w:left="420"/>
          </w:pPr>
          <w:r>
            <w:fldChar w:fldCharType="begin"/>
          </w:r>
          <w:r>
            <w:instrText xml:space="preserve"> HYPERLINK \l "_Toc2817_WPSOffice_Level2" </w:instrText>
          </w:r>
          <w:r>
            <w:fldChar w:fldCharType="separate"/>
          </w:r>
          <w:r>
            <w:rPr>
              <w:rFonts w:hint="eastAsia" w:ascii="Arial" w:hAnsi="Arial" w:eastAsia="黑体"/>
            </w:rPr>
            <w:t>1.响应须知前附表</w:t>
          </w:r>
          <w:r>
            <w:tab/>
          </w:r>
          <w:bookmarkStart w:id="1" w:name="_Toc2817_WPSOffice_Level2Page"/>
          <w:r>
            <w:t>5</w:t>
          </w:r>
          <w:bookmarkEnd w:id="1"/>
          <w:r>
            <w:fldChar w:fldCharType="end"/>
          </w:r>
        </w:p>
        <w:p>
          <w:pPr>
            <w:pStyle w:val="41"/>
            <w:tabs>
              <w:tab w:val="right" w:leader="dot" w:pos="9115"/>
            </w:tabs>
            <w:ind w:left="420"/>
          </w:pPr>
          <w:r>
            <w:fldChar w:fldCharType="begin"/>
          </w:r>
          <w:r>
            <w:instrText xml:space="preserve"> HYPERLINK \l "_Toc13390_WPSOffice_Level2" </w:instrText>
          </w:r>
          <w:r>
            <w:fldChar w:fldCharType="separate"/>
          </w:r>
          <w:r>
            <w:rPr>
              <w:rFonts w:hint="eastAsia" w:ascii="Arial" w:hAnsi="Arial" w:eastAsia="黑体"/>
            </w:rPr>
            <w:t>2.采购说明</w:t>
          </w:r>
          <w:r>
            <w:tab/>
          </w:r>
          <w:bookmarkStart w:id="2" w:name="_Toc13390_WPSOffice_Level2Page"/>
          <w:r>
            <w:t>6</w:t>
          </w:r>
          <w:bookmarkEnd w:id="2"/>
          <w:r>
            <w:fldChar w:fldCharType="end"/>
          </w:r>
        </w:p>
        <w:p>
          <w:pPr>
            <w:pStyle w:val="42"/>
            <w:tabs>
              <w:tab w:val="right" w:leader="dot" w:pos="9115"/>
            </w:tabs>
            <w:ind w:left="840"/>
          </w:pPr>
          <w:r>
            <w:fldChar w:fldCharType="begin"/>
          </w:r>
          <w:r>
            <w:instrText xml:space="preserve"> HYPERLINK \l "_Toc2817_WPSOffice_Level3" </w:instrText>
          </w:r>
          <w:r>
            <w:fldChar w:fldCharType="separate"/>
          </w:r>
          <w:r>
            <w:rPr>
              <w:rFonts w:hint="eastAsia" w:ascii="仿宋" w:hAnsi="仿宋" w:eastAsia="仿宋" w:cs="仿宋"/>
            </w:rPr>
            <w:t>2.1项目名称</w:t>
          </w:r>
          <w:r>
            <w:tab/>
          </w:r>
          <w:bookmarkStart w:id="3" w:name="_Toc2817_WPSOffice_Level3Page"/>
          <w:r>
            <w:t>6</w:t>
          </w:r>
          <w:bookmarkEnd w:id="3"/>
          <w:r>
            <w:fldChar w:fldCharType="end"/>
          </w:r>
        </w:p>
        <w:p>
          <w:pPr>
            <w:pStyle w:val="42"/>
            <w:tabs>
              <w:tab w:val="right" w:leader="dot" w:pos="9115"/>
            </w:tabs>
            <w:ind w:left="840"/>
          </w:pPr>
          <w:r>
            <w:fldChar w:fldCharType="begin"/>
          </w:r>
          <w:r>
            <w:instrText xml:space="preserve"> HYPERLINK \l "_Toc13390_WPSOffice_Level3" </w:instrText>
          </w:r>
          <w:r>
            <w:fldChar w:fldCharType="separate"/>
          </w:r>
          <w:r>
            <w:rPr>
              <w:rFonts w:hint="eastAsia" w:ascii="仿宋" w:hAnsi="仿宋" w:eastAsia="仿宋" w:cs="仿宋"/>
            </w:rPr>
            <w:t>2.2采购人、响应供应商及成交人</w:t>
          </w:r>
          <w:r>
            <w:tab/>
          </w:r>
          <w:r>
            <w:rPr>
              <w:rFonts w:hint="eastAsia"/>
            </w:rPr>
            <w:t>6</w:t>
          </w:r>
          <w:r>
            <w:rPr>
              <w:rFonts w:hint="eastAsia"/>
            </w:rPr>
            <w:fldChar w:fldCharType="end"/>
          </w:r>
        </w:p>
        <w:p>
          <w:pPr>
            <w:pStyle w:val="42"/>
            <w:tabs>
              <w:tab w:val="right" w:leader="dot" w:pos="9115"/>
            </w:tabs>
            <w:ind w:left="840"/>
          </w:pPr>
          <w:r>
            <w:fldChar w:fldCharType="begin"/>
          </w:r>
          <w:r>
            <w:instrText xml:space="preserve"> HYPERLINK \l "_Toc18873_WPSOffice_Level3" </w:instrText>
          </w:r>
          <w:r>
            <w:fldChar w:fldCharType="separate"/>
          </w:r>
          <w:r>
            <w:rPr>
              <w:rFonts w:hint="eastAsia" w:ascii="仿宋" w:hAnsi="仿宋" w:eastAsia="仿宋" w:cs="仿宋"/>
            </w:rPr>
            <w:t>2.3采购范围</w:t>
          </w:r>
          <w:r>
            <w:tab/>
          </w:r>
          <w:r>
            <w:rPr>
              <w:rFonts w:hint="eastAsia"/>
            </w:rPr>
            <w:t>6</w:t>
          </w:r>
          <w:r>
            <w:rPr>
              <w:rFonts w:hint="eastAsia"/>
            </w:rPr>
            <w:fldChar w:fldCharType="end"/>
          </w:r>
        </w:p>
        <w:p>
          <w:pPr>
            <w:pStyle w:val="42"/>
            <w:tabs>
              <w:tab w:val="right" w:leader="dot" w:pos="9115"/>
            </w:tabs>
            <w:ind w:left="840"/>
          </w:pPr>
          <w:r>
            <w:fldChar w:fldCharType="begin"/>
          </w:r>
          <w:r>
            <w:instrText xml:space="preserve"> HYPERLINK \l "_Toc24947_WPSOffice_Level3" </w:instrText>
          </w:r>
          <w:r>
            <w:fldChar w:fldCharType="separate"/>
          </w:r>
          <w:r>
            <w:rPr>
              <w:rFonts w:hint="eastAsia" w:ascii="仿宋" w:hAnsi="仿宋" w:eastAsia="仿宋" w:cs="仿宋"/>
            </w:rPr>
            <w:t>2.4履约保证金</w:t>
          </w:r>
          <w:r>
            <w:tab/>
          </w:r>
          <w:r>
            <w:rPr>
              <w:rFonts w:hint="eastAsia"/>
            </w:rPr>
            <w:t>6</w:t>
          </w:r>
          <w:r>
            <w:rPr>
              <w:rFonts w:hint="eastAsia"/>
            </w:rPr>
            <w:fldChar w:fldCharType="end"/>
          </w:r>
        </w:p>
        <w:p>
          <w:pPr>
            <w:pStyle w:val="41"/>
            <w:tabs>
              <w:tab w:val="right" w:leader="dot" w:pos="9115"/>
            </w:tabs>
            <w:ind w:left="420"/>
          </w:pPr>
          <w:r>
            <w:fldChar w:fldCharType="begin"/>
          </w:r>
          <w:r>
            <w:instrText xml:space="preserve"> HYPERLINK \l "_Toc18873_WPSOffice_Level2" </w:instrText>
          </w:r>
          <w:r>
            <w:fldChar w:fldCharType="separate"/>
          </w:r>
          <w:r>
            <w:rPr>
              <w:rFonts w:hint="eastAsia" w:ascii="Arial" w:hAnsi="Arial" w:eastAsia="黑体"/>
            </w:rPr>
            <w:t>3.响应供应商相关要求</w:t>
          </w:r>
          <w:r>
            <w:tab/>
          </w:r>
          <w:r>
            <w:rPr>
              <w:rFonts w:hint="eastAsia"/>
            </w:rPr>
            <w:t>6</w:t>
          </w:r>
          <w:r>
            <w:rPr>
              <w:rFonts w:hint="eastAsia"/>
            </w:rPr>
            <w:fldChar w:fldCharType="end"/>
          </w:r>
        </w:p>
        <w:p>
          <w:pPr>
            <w:pStyle w:val="42"/>
            <w:tabs>
              <w:tab w:val="right" w:leader="dot" w:pos="9115"/>
            </w:tabs>
            <w:ind w:left="840"/>
          </w:pPr>
          <w:r>
            <w:fldChar w:fldCharType="begin"/>
          </w:r>
          <w:r>
            <w:instrText xml:space="preserve"> HYPERLINK \l "_Toc11911_WPSOffice_Level3" </w:instrText>
          </w:r>
          <w:r>
            <w:fldChar w:fldCharType="separate"/>
          </w:r>
          <w:r>
            <w:rPr>
              <w:rFonts w:hint="eastAsia" w:ascii="仿宋" w:hAnsi="仿宋" w:eastAsia="仿宋" w:cs="仿宋"/>
            </w:rPr>
            <w:t>3.1合格响应供应商</w:t>
          </w:r>
          <w:r>
            <w:tab/>
          </w:r>
          <w:r>
            <w:rPr>
              <w:rFonts w:hint="eastAsia"/>
            </w:rPr>
            <w:t>6</w:t>
          </w:r>
          <w:r>
            <w:rPr>
              <w:rFonts w:hint="eastAsia"/>
            </w:rPr>
            <w:fldChar w:fldCharType="end"/>
          </w:r>
        </w:p>
        <w:p>
          <w:pPr>
            <w:pStyle w:val="42"/>
            <w:tabs>
              <w:tab w:val="right" w:leader="dot" w:pos="9115"/>
            </w:tabs>
            <w:ind w:left="840"/>
          </w:pPr>
          <w:r>
            <w:fldChar w:fldCharType="begin"/>
          </w:r>
          <w:r>
            <w:instrText xml:space="preserve"> HYPERLINK \l "_Toc30191_WPSOffice_Level3" </w:instrText>
          </w:r>
          <w:r>
            <w:fldChar w:fldCharType="separate"/>
          </w:r>
          <w:r>
            <w:rPr>
              <w:rFonts w:hint="eastAsia" w:ascii="仿宋" w:hAnsi="仿宋" w:eastAsia="仿宋" w:cstheme="minorBidi"/>
            </w:rPr>
            <w:t>3.2响应供应商承担本项目能力和资格的有关资格证明材料</w:t>
          </w:r>
          <w:r>
            <w:tab/>
          </w:r>
          <w:r>
            <w:rPr>
              <w:rFonts w:hint="eastAsia"/>
            </w:rPr>
            <w:t>7</w:t>
          </w:r>
          <w:r>
            <w:rPr>
              <w:rFonts w:hint="eastAsia"/>
            </w:rPr>
            <w:fldChar w:fldCharType="end"/>
          </w:r>
        </w:p>
        <w:p>
          <w:pPr>
            <w:pStyle w:val="42"/>
            <w:tabs>
              <w:tab w:val="right" w:leader="dot" w:pos="9115"/>
            </w:tabs>
            <w:ind w:left="840"/>
          </w:pPr>
          <w:r>
            <w:fldChar w:fldCharType="begin"/>
          </w:r>
          <w:r>
            <w:instrText xml:space="preserve"> HYPERLINK \l "_Toc4478_WPSOffice_Level3" </w:instrText>
          </w:r>
          <w:r>
            <w:fldChar w:fldCharType="separate"/>
          </w:r>
          <w:r>
            <w:rPr>
              <w:rFonts w:hint="eastAsia" w:ascii="仿宋" w:hAnsi="仿宋" w:eastAsia="仿宋" w:cstheme="minorBidi"/>
            </w:rPr>
            <w:t>3.3响应费用</w:t>
          </w:r>
          <w:r>
            <w:tab/>
          </w:r>
          <w:r>
            <w:rPr>
              <w:rFonts w:hint="eastAsia"/>
            </w:rPr>
            <w:t>7</w:t>
          </w:r>
          <w:r>
            <w:rPr>
              <w:rFonts w:hint="eastAsia"/>
            </w:rPr>
            <w:fldChar w:fldCharType="end"/>
          </w:r>
        </w:p>
        <w:p>
          <w:pPr>
            <w:pStyle w:val="41"/>
            <w:tabs>
              <w:tab w:val="right" w:leader="dot" w:pos="9115"/>
            </w:tabs>
            <w:ind w:left="420"/>
          </w:pPr>
          <w:r>
            <w:fldChar w:fldCharType="begin"/>
          </w:r>
          <w:r>
            <w:instrText xml:space="preserve"> HYPERLINK \l "_Toc24947_WPSOffice_Level2" </w:instrText>
          </w:r>
          <w:r>
            <w:fldChar w:fldCharType="separate"/>
          </w:r>
          <w:r>
            <w:rPr>
              <w:rFonts w:hint="eastAsia" w:ascii="Arial" w:hAnsi="Arial" w:eastAsia="黑体"/>
            </w:rPr>
            <w:t>4.响应文件的构成</w:t>
          </w:r>
          <w:r>
            <w:tab/>
          </w:r>
          <w:r>
            <w:rPr>
              <w:rFonts w:hint="eastAsia"/>
            </w:rPr>
            <w:t>7</w:t>
          </w:r>
          <w:r>
            <w:rPr>
              <w:rFonts w:hint="eastAsia"/>
            </w:rPr>
            <w:fldChar w:fldCharType="end"/>
          </w:r>
        </w:p>
        <w:p>
          <w:pPr>
            <w:pStyle w:val="41"/>
            <w:tabs>
              <w:tab w:val="right" w:leader="dot" w:pos="9115"/>
            </w:tabs>
            <w:ind w:left="420"/>
          </w:pPr>
          <w:r>
            <w:fldChar w:fldCharType="begin"/>
          </w:r>
          <w:r>
            <w:instrText xml:space="preserve"> HYPERLINK \l "_Toc11911_WPSOffice_Level2" </w:instrText>
          </w:r>
          <w:r>
            <w:fldChar w:fldCharType="separate"/>
          </w:r>
          <w:r>
            <w:rPr>
              <w:rFonts w:hint="eastAsia" w:ascii="Arial" w:hAnsi="Arial" w:eastAsia="黑体"/>
            </w:rPr>
            <w:t>5.响应文件书写及签名、盖章要求</w:t>
          </w:r>
          <w:r>
            <w:tab/>
          </w:r>
          <w:r>
            <w:rPr>
              <w:rFonts w:hint="eastAsia"/>
            </w:rPr>
            <w:t>8</w:t>
          </w:r>
          <w:r>
            <w:rPr>
              <w:rFonts w:hint="eastAsia"/>
            </w:rPr>
            <w:fldChar w:fldCharType="end"/>
          </w:r>
        </w:p>
        <w:p>
          <w:pPr>
            <w:pStyle w:val="41"/>
            <w:tabs>
              <w:tab w:val="right" w:leader="dot" w:pos="9115"/>
            </w:tabs>
            <w:ind w:left="420"/>
          </w:pPr>
          <w:r>
            <w:fldChar w:fldCharType="begin"/>
          </w:r>
          <w:r>
            <w:instrText xml:space="preserve"> HYPERLINK \l "_Toc30191_WPSOffice_Level2" </w:instrText>
          </w:r>
          <w:r>
            <w:fldChar w:fldCharType="separate"/>
          </w:r>
          <w:r>
            <w:rPr>
              <w:rFonts w:hint="eastAsia" w:ascii="Arial" w:hAnsi="Arial" w:eastAsia="黑体"/>
            </w:rPr>
            <w:t>6.响应有效期</w:t>
          </w:r>
          <w:r>
            <w:tab/>
          </w:r>
          <w:r>
            <w:rPr>
              <w:rFonts w:hint="eastAsia"/>
            </w:rPr>
            <w:t>9</w:t>
          </w:r>
          <w:r>
            <w:rPr>
              <w:rFonts w:hint="eastAsia"/>
            </w:rPr>
            <w:fldChar w:fldCharType="end"/>
          </w:r>
        </w:p>
        <w:p>
          <w:pPr>
            <w:pStyle w:val="41"/>
            <w:tabs>
              <w:tab w:val="right" w:leader="dot" w:pos="9115"/>
            </w:tabs>
            <w:ind w:left="420"/>
          </w:pPr>
          <w:r>
            <w:fldChar w:fldCharType="begin"/>
          </w:r>
          <w:r>
            <w:instrText xml:space="preserve"> HYPERLINK \l "_Toc4478_WPSOffice_Level2" </w:instrText>
          </w:r>
          <w:r>
            <w:fldChar w:fldCharType="separate"/>
          </w:r>
          <w:r>
            <w:rPr>
              <w:rFonts w:hint="eastAsia" w:ascii="Arial" w:hAnsi="Arial" w:eastAsia="黑体"/>
            </w:rPr>
            <w:t>7.响应报价</w:t>
          </w:r>
          <w:r>
            <w:tab/>
          </w:r>
          <w:r>
            <w:rPr>
              <w:rFonts w:hint="eastAsia"/>
            </w:rPr>
            <w:t>9</w:t>
          </w:r>
          <w:r>
            <w:rPr>
              <w:rFonts w:hint="eastAsia"/>
            </w:rPr>
            <w:fldChar w:fldCharType="end"/>
          </w:r>
        </w:p>
        <w:p>
          <w:pPr>
            <w:pStyle w:val="41"/>
            <w:tabs>
              <w:tab w:val="right" w:leader="dot" w:pos="9115"/>
            </w:tabs>
            <w:ind w:left="420"/>
          </w:pPr>
          <w:r>
            <w:fldChar w:fldCharType="begin"/>
          </w:r>
          <w:r>
            <w:instrText xml:space="preserve"> HYPERLINK \l "_Toc12402_WPSOffice_Level2" </w:instrText>
          </w:r>
          <w:r>
            <w:fldChar w:fldCharType="separate"/>
          </w:r>
          <w:r>
            <w:rPr>
              <w:rFonts w:hint="eastAsia" w:ascii="Arial" w:hAnsi="Arial" w:eastAsia="黑体"/>
            </w:rPr>
            <w:t>8.响应文件的递交</w:t>
          </w:r>
          <w:r>
            <w:tab/>
          </w:r>
          <w:r>
            <w:rPr>
              <w:rFonts w:hint="eastAsia"/>
            </w:rPr>
            <w:t>9</w:t>
          </w:r>
          <w:r>
            <w:rPr>
              <w:rFonts w:hint="eastAsia"/>
            </w:rPr>
            <w:fldChar w:fldCharType="end"/>
          </w:r>
        </w:p>
        <w:p>
          <w:pPr>
            <w:pStyle w:val="41"/>
            <w:tabs>
              <w:tab w:val="right" w:leader="dot" w:pos="9115"/>
            </w:tabs>
            <w:ind w:left="420"/>
          </w:pPr>
          <w:r>
            <w:fldChar w:fldCharType="begin"/>
          </w:r>
          <w:r>
            <w:instrText xml:space="preserve"> HYPERLINK \l "_Toc27106_WPSOffice_Level2" </w:instrText>
          </w:r>
          <w:r>
            <w:fldChar w:fldCharType="separate"/>
          </w:r>
          <w:r>
            <w:rPr>
              <w:rFonts w:hint="eastAsia" w:ascii="Arial" w:hAnsi="Arial" w:eastAsia="黑体"/>
            </w:rPr>
            <w:t>9.磋商</w:t>
          </w:r>
          <w:r>
            <w:tab/>
          </w:r>
          <w:r>
            <w:rPr>
              <w:rFonts w:hint="eastAsia"/>
            </w:rPr>
            <w:t>1</w:t>
          </w:r>
          <w:r>
            <w:rPr>
              <w:rFonts w:hint="eastAsia"/>
            </w:rPr>
            <w:fldChar w:fldCharType="end"/>
          </w:r>
          <w:r>
            <w:rPr>
              <w:rFonts w:hint="eastAsia"/>
            </w:rPr>
            <w:t>0</w:t>
          </w:r>
        </w:p>
        <w:p>
          <w:pPr>
            <w:pStyle w:val="42"/>
            <w:tabs>
              <w:tab w:val="right" w:leader="dot" w:pos="9115"/>
            </w:tabs>
            <w:ind w:left="840"/>
          </w:pPr>
          <w:r>
            <w:fldChar w:fldCharType="begin"/>
          </w:r>
          <w:r>
            <w:instrText xml:space="preserve"> HYPERLINK \l "_Toc14404_WPSOffice_Level3" </w:instrText>
          </w:r>
          <w:r>
            <w:fldChar w:fldCharType="separate"/>
          </w:r>
          <w:r>
            <w:rPr>
              <w:rFonts w:hint="eastAsia" w:ascii="仿宋" w:hAnsi="仿宋" w:eastAsia="仿宋" w:cstheme="minorBidi"/>
            </w:rPr>
            <w:t>9.1磋商时间</w:t>
          </w:r>
          <w:r>
            <w:tab/>
          </w:r>
          <w:r>
            <w:rPr>
              <w:rFonts w:hint="eastAsia"/>
            </w:rPr>
            <w:t>1</w:t>
          </w:r>
          <w:r>
            <w:rPr>
              <w:rFonts w:hint="eastAsia"/>
            </w:rPr>
            <w:fldChar w:fldCharType="end"/>
          </w:r>
          <w:r>
            <w:rPr>
              <w:rFonts w:hint="eastAsia"/>
            </w:rPr>
            <w:t>0</w:t>
          </w:r>
        </w:p>
        <w:p>
          <w:pPr>
            <w:pStyle w:val="42"/>
            <w:tabs>
              <w:tab w:val="right" w:leader="dot" w:pos="9115"/>
            </w:tabs>
            <w:ind w:left="840"/>
          </w:pPr>
          <w:r>
            <w:fldChar w:fldCharType="begin"/>
          </w:r>
          <w:r>
            <w:instrText xml:space="preserve"> HYPERLINK \l "_Toc32711_WPSOffice_Level3" </w:instrText>
          </w:r>
          <w:r>
            <w:fldChar w:fldCharType="separate"/>
          </w:r>
          <w:r>
            <w:rPr>
              <w:rFonts w:hint="eastAsia" w:ascii="仿宋" w:hAnsi="仿宋" w:eastAsia="仿宋" w:cstheme="minorBidi"/>
            </w:rPr>
            <w:t>9.2资格符合性审查</w:t>
          </w:r>
          <w:r>
            <w:tab/>
          </w:r>
          <w:r>
            <w:rPr>
              <w:rFonts w:hint="eastAsia"/>
            </w:rPr>
            <w:t>1</w:t>
          </w:r>
          <w:r>
            <w:rPr>
              <w:rFonts w:hint="eastAsia"/>
            </w:rPr>
            <w:fldChar w:fldCharType="end"/>
          </w:r>
          <w:r>
            <w:rPr>
              <w:rFonts w:hint="eastAsia"/>
            </w:rPr>
            <w:t>1</w:t>
          </w:r>
        </w:p>
        <w:p>
          <w:pPr>
            <w:pStyle w:val="42"/>
            <w:tabs>
              <w:tab w:val="right" w:leader="dot" w:pos="9115"/>
            </w:tabs>
            <w:ind w:left="840"/>
          </w:pPr>
          <w:r>
            <w:fldChar w:fldCharType="begin"/>
          </w:r>
          <w:r>
            <w:instrText xml:space="preserve"> HYPERLINK \l "_Toc2692_WPSOffice_Level3" </w:instrText>
          </w:r>
          <w:r>
            <w:fldChar w:fldCharType="separate"/>
          </w:r>
          <w:r>
            <w:rPr>
              <w:rFonts w:hint="eastAsia" w:ascii="仿宋" w:hAnsi="仿宋" w:eastAsia="仿宋" w:cstheme="minorBidi"/>
            </w:rPr>
            <w:t>9.3响应澄清</w:t>
          </w:r>
          <w:r>
            <w:tab/>
          </w:r>
          <w:r>
            <w:rPr>
              <w:rFonts w:hint="eastAsia"/>
            </w:rPr>
            <w:t>1</w:t>
          </w:r>
          <w:r>
            <w:rPr>
              <w:rFonts w:hint="eastAsia"/>
            </w:rPr>
            <w:fldChar w:fldCharType="end"/>
          </w:r>
          <w:r>
            <w:rPr>
              <w:rFonts w:hint="eastAsia"/>
            </w:rPr>
            <w:t>2</w:t>
          </w:r>
        </w:p>
        <w:p>
          <w:pPr>
            <w:pStyle w:val="42"/>
            <w:tabs>
              <w:tab w:val="right" w:leader="dot" w:pos="9115"/>
            </w:tabs>
            <w:ind w:left="840"/>
          </w:pPr>
          <w:r>
            <w:fldChar w:fldCharType="begin"/>
          </w:r>
          <w:r>
            <w:instrText xml:space="preserve"> HYPERLINK \l "_Toc24173_WPSOffice_Level3" </w:instrText>
          </w:r>
          <w:r>
            <w:fldChar w:fldCharType="separate"/>
          </w:r>
          <w:r>
            <w:rPr>
              <w:rFonts w:hint="eastAsia" w:ascii="仿宋" w:hAnsi="仿宋" w:eastAsia="仿宋" w:cstheme="minorBidi"/>
            </w:rPr>
            <w:t>9.4磋商程序</w:t>
          </w:r>
          <w:r>
            <w:tab/>
          </w:r>
          <w:r>
            <w:rPr>
              <w:rFonts w:hint="eastAsia"/>
            </w:rPr>
            <w:t>1</w:t>
          </w:r>
          <w:r>
            <w:rPr>
              <w:rFonts w:hint="eastAsia"/>
            </w:rPr>
            <w:fldChar w:fldCharType="end"/>
          </w:r>
          <w:r>
            <w:rPr>
              <w:rFonts w:hint="eastAsia"/>
            </w:rPr>
            <w:t>2</w:t>
          </w:r>
        </w:p>
        <w:p>
          <w:pPr>
            <w:pStyle w:val="42"/>
            <w:tabs>
              <w:tab w:val="right" w:leader="dot" w:pos="9115"/>
            </w:tabs>
            <w:ind w:left="840"/>
          </w:pPr>
          <w:r>
            <w:fldChar w:fldCharType="begin"/>
          </w:r>
          <w:r>
            <w:instrText xml:space="preserve"> HYPERLINK \l "_Toc32385_WPSOffice_Level3" </w:instrText>
          </w:r>
          <w:r>
            <w:fldChar w:fldCharType="separate"/>
          </w:r>
          <w:r>
            <w:rPr>
              <w:rFonts w:hint="eastAsia" w:ascii="仿宋" w:hAnsi="仿宋" w:eastAsia="仿宋" w:cstheme="minorBidi"/>
            </w:rPr>
            <w:t>9.5磋商结果的公示</w:t>
          </w:r>
          <w:r>
            <w:tab/>
          </w:r>
          <w:r>
            <w:rPr>
              <w:rFonts w:hint="eastAsia"/>
            </w:rPr>
            <w:t>1</w:t>
          </w:r>
          <w:r>
            <w:rPr>
              <w:rFonts w:hint="eastAsia"/>
            </w:rPr>
            <w:fldChar w:fldCharType="end"/>
          </w:r>
          <w:r>
            <w:rPr>
              <w:rFonts w:hint="eastAsia"/>
            </w:rPr>
            <w:t>2</w:t>
          </w:r>
        </w:p>
        <w:p>
          <w:pPr>
            <w:pStyle w:val="42"/>
            <w:tabs>
              <w:tab w:val="right" w:leader="dot" w:pos="9115"/>
            </w:tabs>
            <w:ind w:left="840"/>
          </w:pPr>
          <w:r>
            <w:fldChar w:fldCharType="begin"/>
          </w:r>
          <w:r>
            <w:instrText xml:space="preserve"> HYPERLINK \l "_Toc8776_WPSOffice_Level3" </w:instrText>
          </w:r>
          <w:r>
            <w:fldChar w:fldCharType="separate"/>
          </w:r>
          <w:r>
            <w:rPr>
              <w:rFonts w:hint="eastAsia" w:ascii="仿宋" w:hAnsi="仿宋" w:eastAsia="仿宋" w:cstheme="minorBidi"/>
            </w:rPr>
            <w:t>9.6成交通知书</w:t>
          </w:r>
          <w:r>
            <w:tab/>
          </w:r>
          <w:r>
            <w:rPr>
              <w:rFonts w:hint="eastAsia"/>
            </w:rPr>
            <w:t>1</w:t>
          </w:r>
          <w:r>
            <w:rPr>
              <w:rFonts w:hint="eastAsia"/>
            </w:rPr>
            <w:fldChar w:fldCharType="end"/>
          </w:r>
          <w:r>
            <w:rPr>
              <w:rFonts w:hint="eastAsia"/>
            </w:rPr>
            <w:t>3</w:t>
          </w:r>
        </w:p>
        <w:p>
          <w:pPr>
            <w:pStyle w:val="42"/>
            <w:tabs>
              <w:tab w:val="right" w:leader="dot" w:pos="9115"/>
            </w:tabs>
            <w:ind w:left="840"/>
          </w:pPr>
          <w:r>
            <w:fldChar w:fldCharType="begin"/>
          </w:r>
          <w:r>
            <w:instrText xml:space="preserve"> HYPERLINK \l "_Toc25755_WPSOffice_Level3" </w:instrText>
          </w:r>
          <w:r>
            <w:fldChar w:fldCharType="separate"/>
          </w:r>
          <w:r>
            <w:rPr>
              <w:rFonts w:hint="eastAsia" w:ascii="仿宋" w:hAnsi="仿宋" w:eastAsia="仿宋" w:cstheme="minorBidi"/>
            </w:rPr>
            <w:t>9.7签订合同</w:t>
          </w:r>
          <w:r>
            <w:tab/>
          </w:r>
          <w:r>
            <w:rPr>
              <w:rFonts w:hint="eastAsia"/>
            </w:rPr>
            <w:t>1</w:t>
          </w:r>
          <w:r>
            <w:rPr>
              <w:rFonts w:hint="eastAsia"/>
            </w:rPr>
            <w:fldChar w:fldCharType="end"/>
          </w:r>
          <w:r>
            <w:rPr>
              <w:rFonts w:hint="eastAsia"/>
            </w:rPr>
            <w:t>3</w:t>
          </w:r>
        </w:p>
        <w:p>
          <w:pPr>
            <w:pStyle w:val="42"/>
            <w:tabs>
              <w:tab w:val="right" w:leader="dot" w:pos="9115"/>
            </w:tabs>
            <w:ind w:left="840"/>
          </w:pPr>
          <w:r>
            <w:fldChar w:fldCharType="begin"/>
          </w:r>
          <w:r>
            <w:instrText xml:space="preserve"> HYPERLINK \l "_Toc10138_WPSOffice_Level3" </w:instrText>
          </w:r>
          <w:r>
            <w:fldChar w:fldCharType="separate"/>
          </w:r>
          <w:r>
            <w:rPr>
              <w:rFonts w:hint="eastAsia" w:ascii="仿宋" w:hAnsi="仿宋" w:eastAsia="仿宋" w:cstheme="minorBidi"/>
            </w:rPr>
            <w:t>9.8最终审查</w:t>
          </w:r>
          <w:r>
            <w:tab/>
          </w:r>
          <w:r>
            <w:rPr>
              <w:rFonts w:hint="eastAsia"/>
            </w:rPr>
            <w:t>1</w:t>
          </w:r>
          <w:r>
            <w:rPr>
              <w:rFonts w:hint="eastAsia"/>
            </w:rPr>
            <w:fldChar w:fldCharType="end"/>
          </w:r>
          <w:r>
            <w:rPr>
              <w:rFonts w:hint="eastAsia"/>
            </w:rPr>
            <w:t>3</w:t>
          </w:r>
        </w:p>
        <w:p>
          <w:pPr>
            <w:pStyle w:val="41"/>
            <w:tabs>
              <w:tab w:val="right" w:leader="dot" w:pos="9115"/>
            </w:tabs>
            <w:ind w:left="420"/>
          </w:pPr>
          <w:r>
            <w:fldChar w:fldCharType="begin"/>
          </w:r>
          <w:r>
            <w:instrText xml:space="preserve"> HYPERLINK \l "_Toc31002_WPSOffice_Level2" </w:instrText>
          </w:r>
          <w:r>
            <w:fldChar w:fldCharType="separate"/>
          </w:r>
          <w:r>
            <w:rPr>
              <w:rFonts w:hint="eastAsia" w:ascii="Arial" w:hAnsi="Arial" w:eastAsia="黑体"/>
            </w:rPr>
            <w:t>10.其他响应说明或要求</w:t>
          </w:r>
          <w:r>
            <w:tab/>
          </w:r>
          <w:r>
            <w:rPr>
              <w:rFonts w:hint="eastAsia"/>
            </w:rPr>
            <w:t>1</w:t>
          </w:r>
          <w:r>
            <w:rPr>
              <w:rFonts w:hint="eastAsia"/>
            </w:rPr>
            <w:fldChar w:fldCharType="end"/>
          </w:r>
          <w:r>
            <w:rPr>
              <w:rFonts w:hint="eastAsia"/>
            </w:rPr>
            <w:t>3</w:t>
          </w:r>
        </w:p>
        <w:p>
          <w:pPr>
            <w:pStyle w:val="41"/>
            <w:tabs>
              <w:tab w:val="right" w:leader="dot" w:pos="9115"/>
            </w:tabs>
            <w:ind w:left="0" w:leftChars="0"/>
          </w:pPr>
          <w:r>
            <w:fldChar w:fldCharType="begin"/>
          </w:r>
          <w:r>
            <w:instrText xml:space="preserve"> HYPERLINK \l "_Toc23943_WPSOffice_Level2" </w:instrText>
          </w:r>
          <w:r>
            <w:fldChar w:fldCharType="separate"/>
          </w:r>
          <w:r>
            <w:rPr>
              <w:rFonts w:hint="eastAsia" w:ascii="方正小标宋简体" w:hAnsi="方正小标宋简体" w:eastAsia="方正小标宋简体" w:cs="方正小标宋简体"/>
            </w:rPr>
            <w:t>二、项目概述与采购范围</w:t>
          </w:r>
          <w:r>
            <w:tab/>
          </w:r>
          <w:r>
            <w:rPr>
              <w:rFonts w:hint="eastAsia"/>
            </w:rPr>
            <w:t>1</w:t>
          </w:r>
          <w:r>
            <w:rPr>
              <w:rFonts w:hint="eastAsia"/>
            </w:rPr>
            <w:fldChar w:fldCharType="end"/>
          </w:r>
          <w:r>
            <w:rPr>
              <w:rFonts w:hint="eastAsia"/>
            </w:rPr>
            <w:t>5</w:t>
          </w:r>
        </w:p>
        <w:p>
          <w:pPr>
            <w:pStyle w:val="42"/>
            <w:tabs>
              <w:tab w:val="right" w:leader="dot" w:pos="9115"/>
            </w:tabs>
            <w:ind w:left="840"/>
          </w:pPr>
          <w:r>
            <w:fldChar w:fldCharType="begin"/>
          </w:r>
          <w:r>
            <w:instrText xml:space="preserve"> HYPERLINK \l "_Toc18406_WPSOffice_Level3" </w:instrText>
          </w:r>
          <w:r>
            <w:fldChar w:fldCharType="separate"/>
          </w:r>
          <w:r>
            <w:rPr>
              <w:rFonts w:hint="eastAsia" w:ascii="Arial" w:hAnsi="Arial" w:eastAsia="黑体"/>
            </w:rPr>
            <w:t>1.项目单位概述</w:t>
          </w:r>
          <w:r>
            <w:tab/>
          </w:r>
          <w:r>
            <w:rPr>
              <w:rFonts w:hint="eastAsia"/>
            </w:rPr>
            <w:t>1</w:t>
          </w:r>
          <w:r>
            <w:rPr>
              <w:rFonts w:hint="eastAsia"/>
            </w:rPr>
            <w:fldChar w:fldCharType="end"/>
          </w:r>
          <w:r>
            <w:rPr>
              <w:rFonts w:hint="eastAsia"/>
            </w:rPr>
            <w:t>5</w:t>
          </w:r>
        </w:p>
        <w:p>
          <w:pPr>
            <w:pStyle w:val="42"/>
            <w:tabs>
              <w:tab w:val="right" w:leader="dot" w:pos="9115"/>
            </w:tabs>
            <w:ind w:left="840"/>
          </w:pPr>
          <w:r>
            <w:fldChar w:fldCharType="begin"/>
          </w:r>
          <w:r>
            <w:instrText xml:space="preserve"> HYPERLINK \l "_Toc2817_WPSOffice_Level1" </w:instrText>
          </w:r>
          <w:r>
            <w:fldChar w:fldCharType="separate"/>
          </w:r>
          <w:r>
            <w:rPr>
              <w:rFonts w:hint="eastAsia" w:ascii="Arial" w:hAnsi="Arial" w:eastAsia="黑体"/>
            </w:rPr>
            <w:t>2项目范围</w:t>
          </w:r>
          <w:r>
            <w:tab/>
          </w:r>
          <w:r>
            <w:rPr>
              <w:rFonts w:hint="eastAsia"/>
            </w:rPr>
            <w:t>1</w:t>
          </w:r>
          <w:r>
            <w:rPr>
              <w:rFonts w:hint="eastAsia"/>
            </w:rPr>
            <w:fldChar w:fldCharType="end"/>
          </w:r>
          <w:r>
            <w:rPr>
              <w:rFonts w:hint="eastAsia"/>
            </w:rPr>
            <w:t>5</w:t>
          </w:r>
        </w:p>
        <w:p>
          <w:pPr>
            <w:pStyle w:val="40"/>
            <w:tabs>
              <w:tab w:val="right" w:leader="dot" w:pos="9115"/>
            </w:tabs>
            <w:ind w:firstLine="800" w:firstLineChars="400"/>
          </w:pPr>
          <w:r>
            <w:fldChar w:fldCharType="begin"/>
          </w:r>
          <w:r>
            <w:instrText xml:space="preserve"> HYPERLINK \l "_Toc13390_WPSOffice_Level1" </w:instrText>
          </w:r>
          <w:r>
            <w:fldChar w:fldCharType="separate"/>
          </w:r>
          <w:r>
            <w:rPr>
              <w:rFonts w:hint="eastAsia" w:ascii="仿宋" w:hAnsi="仿宋" w:eastAsia="仿宋" w:cstheme="minorBidi"/>
            </w:rPr>
            <w:t>2.1服务内容（包括但不限于）</w:t>
          </w:r>
          <w:r>
            <w:tab/>
          </w:r>
          <w:r>
            <w:rPr>
              <w:rFonts w:hint="eastAsia"/>
            </w:rPr>
            <w:t>1</w:t>
          </w:r>
          <w:r>
            <w:rPr>
              <w:rFonts w:hint="eastAsia"/>
            </w:rPr>
            <w:fldChar w:fldCharType="end"/>
          </w:r>
          <w:r>
            <w:rPr>
              <w:rFonts w:hint="eastAsia"/>
            </w:rPr>
            <w:t>5</w:t>
          </w:r>
        </w:p>
        <w:p>
          <w:pPr>
            <w:pStyle w:val="41"/>
            <w:tabs>
              <w:tab w:val="right" w:leader="dot" w:pos="9115"/>
            </w:tabs>
            <w:ind w:left="420" w:firstLine="600" w:firstLineChars="300"/>
          </w:pPr>
          <w:r>
            <w:fldChar w:fldCharType="begin"/>
          </w:r>
          <w:r>
            <w:instrText xml:space="preserve"> HYPERLINK \l "_Toc27637_WPSOffice_Level2" </w:instrText>
          </w:r>
          <w:r>
            <w:fldChar w:fldCharType="separate"/>
          </w:r>
          <w:r>
            <w:rPr>
              <w:rFonts w:hint="eastAsia" w:ascii="仿宋" w:hAnsi="仿宋" w:eastAsia="仿宋" w:cstheme="minorBidi"/>
            </w:rPr>
            <w:t>2.1.1 人力资源现状分析</w:t>
          </w:r>
          <w:r>
            <w:tab/>
          </w:r>
          <w:bookmarkStart w:id="4" w:name="_Toc27637_WPSOffice_Level2Page"/>
          <w:r>
            <w:t>1</w:t>
          </w:r>
          <w:bookmarkEnd w:id="4"/>
          <w:r>
            <w:rPr>
              <w:rFonts w:hint="eastAsia"/>
            </w:rPr>
            <w:t>5</w:t>
          </w:r>
          <w:r>
            <w:rPr>
              <w:rFonts w:hint="eastAsia"/>
            </w:rPr>
            <w:fldChar w:fldCharType="end"/>
          </w:r>
        </w:p>
        <w:p>
          <w:pPr>
            <w:pStyle w:val="41"/>
            <w:tabs>
              <w:tab w:val="right" w:leader="dot" w:pos="9115"/>
            </w:tabs>
            <w:ind w:left="420" w:firstLine="600" w:firstLineChars="300"/>
          </w:pPr>
          <w:r>
            <w:fldChar w:fldCharType="begin"/>
          </w:r>
          <w:r>
            <w:instrText xml:space="preserve"> HYPERLINK \l "_Toc30652_WPSOffice_Level2" </w:instrText>
          </w:r>
          <w:r>
            <w:fldChar w:fldCharType="separate"/>
          </w:r>
          <w:r>
            <w:rPr>
              <w:rFonts w:hint="eastAsia" w:ascii="仿宋" w:hAnsi="仿宋" w:eastAsia="仿宋" w:cstheme="minorBidi"/>
            </w:rPr>
            <w:t>2.1.2绩效考核和激励体系建设</w:t>
          </w:r>
          <w:r>
            <w:tab/>
          </w:r>
          <w:bookmarkStart w:id="5" w:name="_Toc30652_WPSOffice_Level2Page"/>
          <w:r>
            <w:t>1</w:t>
          </w:r>
          <w:bookmarkEnd w:id="5"/>
          <w:r>
            <w:rPr>
              <w:rFonts w:hint="eastAsia"/>
            </w:rPr>
            <w:t>6</w:t>
          </w:r>
          <w:r>
            <w:rPr>
              <w:rFonts w:hint="eastAsia"/>
            </w:rPr>
            <w:fldChar w:fldCharType="end"/>
          </w:r>
        </w:p>
        <w:p>
          <w:pPr>
            <w:pStyle w:val="41"/>
            <w:tabs>
              <w:tab w:val="right" w:leader="dot" w:pos="9115"/>
            </w:tabs>
            <w:ind w:left="420" w:firstLine="600" w:firstLineChars="300"/>
          </w:pPr>
          <w:r>
            <w:fldChar w:fldCharType="begin"/>
          </w:r>
          <w:r>
            <w:instrText xml:space="preserve"> HYPERLINK \l "_Toc12449_WPSOffice_Level2" </w:instrText>
          </w:r>
          <w:r>
            <w:fldChar w:fldCharType="separate"/>
          </w:r>
          <w:r>
            <w:rPr>
              <w:rFonts w:hint="eastAsia" w:ascii="仿宋" w:hAnsi="仿宋" w:eastAsia="仿宋" w:cstheme="minorBidi"/>
            </w:rPr>
            <w:t>2.1.3职业生涯体系建设</w:t>
          </w:r>
          <w:r>
            <w:tab/>
          </w:r>
          <w:bookmarkStart w:id="6" w:name="_Toc12449_WPSOffice_Level2Page"/>
          <w:r>
            <w:t>1</w:t>
          </w:r>
          <w:bookmarkEnd w:id="6"/>
          <w:r>
            <w:rPr>
              <w:rFonts w:hint="eastAsia"/>
            </w:rPr>
            <w:t>6</w:t>
          </w:r>
          <w:r>
            <w:rPr>
              <w:rFonts w:hint="eastAsia"/>
            </w:rPr>
            <w:fldChar w:fldCharType="end"/>
          </w:r>
        </w:p>
        <w:p>
          <w:pPr>
            <w:pStyle w:val="41"/>
            <w:tabs>
              <w:tab w:val="right" w:leader="dot" w:pos="9115"/>
            </w:tabs>
            <w:ind w:left="420" w:firstLine="600" w:firstLineChars="300"/>
          </w:pPr>
          <w:r>
            <w:fldChar w:fldCharType="begin"/>
          </w:r>
          <w:r>
            <w:instrText xml:space="preserve"> HYPERLINK \l "_Toc11506_WPSOffice_Level2" </w:instrText>
          </w:r>
          <w:r>
            <w:fldChar w:fldCharType="separate"/>
          </w:r>
          <w:r>
            <w:rPr>
              <w:rFonts w:hint="eastAsia" w:ascii="仿宋" w:hAnsi="仿宋" w:eastAsia="仿宋" w:cstheme="minorBidi"/>
            </w:rPr>
            <w:t>2.1.4薪酬体系优化设计</w:t>
          </w:r>
          <w:r>
            <w:tab/>
          </w:r>
          <w:bookmarkStart w:id="7" w:name="_Toc11506_WPSOffice_Level2Page"/>
          <w:r>
            <w:t>1</w:t>
          </w:r>
          <w:bookmarkEnd w:id="7"/>
          <w:r>
            <w:rPr>
              <w:rFonts w:hint="eastAsia"/>
            </w:rPr>
            <w:t>6</w:t>
          </w:r>
          <w:r>
            <w:rPr>
              <w:rFonts w:hint="eastAsia"/>
            </w:rPr>
            <w:fldChar w:fldCharType="end"/>
          </w:r>
        </w:p>
        <w:p>
          <w:pPr>
            <w:pStyle w:val="40"/>
            <w:tabs>
              <w:tab w:val="right" w:leader="dot" w:pos="9115"/>
            </w:tabs>
            <w:ind w:firstLine="800" w:firstLineChars="400"/>
          </w:pPr>
          <w:r>
            <w:fldChar w:fldCharType="begin"/>
          </w:r>
          <w:r>
            <w:instrText xml:space="preserve"> HYPERLINK \l "_Toc18873_WPSOffice_Level1" </w:instrText>
          </w:r>
          <w:r>
            <w:fldChar w:fldCharType="separate"/>
          </w:r>
          <w:r>
            <w:rPr>
              <w:rFonts w:hint="eastAsia" w:ascii="仿宋" w:hAnsi="仿宋" w:eastAsia="仿宋" w:cstheme="minorBidi"/>
            </w:rPr>
            <w:t>2.2付款方式</w:t>
          </w:r>
          <w:r>
            <w:tab/>
          </w:r>
          <w:bookmarkStart w:id="8" w:name="_Toc18873_WPSOffice_Level1Page"/>
          <w:r>
            <w:t>17</w:t>
          </w:r>
          <w:bookmarkEnd w:id="8"/>
          <w:r>
            <w:fldChar w:fldCharType="end"/>
          </w:r>
        </w:p>
        <w:p>
          <w:pPr>
            <w:pStyle w:val="40"/>
            <w:tabs>
              <w:tab w:val="right" w:leader="dot" w:pos="9115"/>
            </w:tabs>
            <w:ind w:firstLine="800" w:firstLineChars="400"/>
          </w:pPr>
          <w:r>
            <w:fldChar w:fldCharType="begin"/>
          </w:r>
          <w:r>
            <w:instrText xml:space="preserve"> HYPERLINK \l "_Toc24947_WPSOffice_Level1" </w:instrText>
          </w:r>
          <w:r>
            <w:fldChar w:fldCharType="separate"/>
          </w:r>
          <w:r>
            <w:rPr>
              <w:rFonts w:hint="eastAsia" w:ascii="仿宋" w:hAnsi="仿宋" w:eastAsia="仿宋" w:cstheme="minorBidi"/>
            </w:rPr>
            <w:t>2.3完成期限及进度要求</w:t>
          </w:r>
          <w:r>
            <w:tab/>
          </w:r>
          <w:bookmarkStart w:id="9" w:name="_Toc24947_WPSOffice_Level1Page"/>
          <w:r>
            <w:t>1</w:t>
          </w:r>
          <w:bookmarkEnd w:id="9"/>
          <w:r>
            <w:rPr>
              <w:rFonts w:hint="eastAsia"/>
            </w:rPr>
            <w:t>7</w:t>
          </w:r>
          <w:r>
            <w:rPr>
              <w:rFonts w:hint="eastAsia"/>
            </w:rPr>
            <w:fldChar w:fldCharType="end"/>
          </w:r>
        </w:p>
        <w:p>
          <w:pPr>
            <w:pStyle w:val="40"/>
            <w:tabs>
              <w:tab w:val="right" w:leader="dot" w:pos="9115"/>
            </w:tabs>
          </w:pPr>
          <w:r>
            <w:fldChar w:fldCharType="begin"/>
          </w:r>
          <w:r>
            <w:instrText xml:space="preserve"> HYPERLINK \l "_Toc11911_WPSOffice_Level1" </w:instrText>
          </w:r>
          <w:r>
            <w:fldChar w:fldCharType="separate"/>
          </w:r>
          <w:r>
            <w:rPr>
              <w:rFonts w:hint="eastAsia" w:ascii="方正小标宋简体" w:hAnsi="方正小标宋简体" w:eastAsia="方正小标宋简体" w:cs="方正小标宋简体"/>
              <w:kern w:val="44"/>
            </w:rPr>
            <w:t>第三部分 评分标准</w:t>
          </w:r>
          <w:r>
            <w:tab/>
          </w:r>
          <w:bookmarkStart w:id="10" w:name="_Toc11911_WPSOffice_Level1Page"/>
          <w:r>
            <w:t>1</w:t>
          </w:r>
          <w:bookmarkEnd w:id="10"/>
          <w:r>
            <w:rPr>
              <w:rFonts w:hint="eastAsia"/>
            </w:rPr>
            <w:t>8</w:t>
          </w:r>
          <w:r>
            <w:rPr>
              <w:rFonts w:hint="eastAsia"/>
            </w:rPr>
            <w:fldChar w:fldCharType="end"/>
          </w:r>
        </w:p>
        <w:p>
          <w:pPr>
            <w:pStyle w:val="41"/>
            <w:tabs>
              <w:tab w:val="right" w:leader="dot" w:pos="9115"/>
            </w:tabs>
            <w:ind w:left="420"/>
          </w:pPr>
          <w:r>
            <w:fldChar w:fldCharType="begin"/>
          </w:r>
          <w:r>
            <w:instrText xml:space="preserve"> HYPERLINK \l "_Toc20466_WPSOffice_Level2" </w:instrText>
          </w:r>
          <w:r>
            <w:fldChar w:fldCharType="separate"/>
          </w:r>
          <w:r>
            <w:rPr>
              <w:rFonts w:hint="eastAsia" w:ascii="Arial" w:hAnsi="Arial" w:eastAsia="黑体"/>
            </w:rPr>
            <w:t>1.成交原则</w:t>
          </w:r>
          <w:r>
            <w:tab/>
          </w:r>
          <w:bookmarkStart w:id="11" w:name="_Toc20466_WPSOffice_Level2Page"/>
          <w:r>
            <w:t>1</w:t>
          </w:r>
          <w:bookmarkEnd w:id="11"/>
          <w:r>
            <w:rPr>
              <w:rFonts w:hint="eastAsia"/>
            </w:rPr>
            <w:t>8</w:t>
          </w:r>
          <w:r>
            <w:rPr>
              <w:rFonts w:hint="eastAsia"/>
            </w:rPr>
            <w:fldChar w:fldCharType="end"/>
          </w:r>
        </w:p>
        <w:p>
          <w:pPr>
            <w:pStyle w:val="41"/>
            <w:tabs>
              <w:tab w:val="right" w:leader="dot" w:pos="9115"/>
            </w:tabs>
            <w:ind w:left="420"/>
          </w:pPr>
          <w:r>
            <w:fldChar w:fldCharType="begin"/>
          </w:r>
          <w:r>
            <w:instrText xml:space="preserve"> HYPERLINK \l "_Toc14404_WPSOffice_Level2" </w:instrText>
          </w:r>
          <w:r>
            <w:fldChar w:fldCharType="separate"/>
          </w:r>
          <w:r>
            <w:rPr>
              <w:rFonts w:hint="eastAsia" w:ascii="Arial" w:hAnsi="Arial" w:eastAsia="黑体"/>
            </w:rPr>
            <w:t>2.评标权重</w:t>
          </w:r>
          <w:r>
            <w:tab/>
          </w:r>
          <w:bookmarkStart w:id="12" w:name="_Toc14404_WPSOffice_Level2Page"/>
          <w:r>
            <w:t>1</w:t>
          </w:r>
          <w:bookmarkEnd w:id="12"/>
          <w:r>
            <w:rPr>
              <w:rFonts w:hint="eastAsia"/>
            </w:rPr>
            <w:t>8</w:t>
          </w:r>
          <w:r>
            <w:rPr>
              <w:rFonts w:hint="eastAsia"/>
            </w:rPr>
            <w:fldChar w:fldCharType="end"/>
          </w:r>
        </w:p>
        <w:p>
          <w:pPr>
            <w:pStyle w:val="41"/>
            <w:tabs>
              <w:tab w:val="right" w:leader="dot" w:pos="9115"/>
            </w:tabs>
            <w:ind w:left="420"/>
          </w:pPr>
          <w:r>
            <w:fldChar w:fldCharType="begin"/>
          </w:r>
          <w:r>
            <w:instrText xml:space="preserve"> HYPERLINK \l "_Toc32711_WPSOffice_Level2" </w:instrText>
          </w:r>
          <w:r>
            <w:fldChar w:fldCharType="separate"/>
          </w:r>
          <w:r>
            <w:rPr>
              <w:rFonts w:hint="eastAsia" w:ascii="Arial" w:hAnsi="Arial" w:eastAsia="黑体"/>
            </w:rPr>
            <w:t>3.评分细则</w:t>
          </w:r>
          <w:r>
            <w:tab/>
          </w:r>
          <w:r>
            <w:rPr>
              <w:rFonts w:hint="eastAsia"/>
            </w:rPr>
            <w:t>1</w:t>
          </w:r>
          <w:r>
            <w:rPr>
              <w:rFonts w:hint="eastAsia"/>
            </w:rPr>
            <w:fldChar w:fldCharType="end"/>
          </w:r>
          <w:r>
            <w:rPr>
              <w:rFonts w:hint="eastAsia"/>
            </w:rPr>
            <w:t>9</w:t>
          </w:r>
        </w:p>
        <w:p>
          <w:pPr>
            <w:pStyle w:val="40"/>
            <w:tabs>
              <w:tab w:val="right" w:leader="dot" w:pos="9115"/>
            </w:tabs>
          </w:pPr>
          <w:r>
            <w:fldChar w:fldCharType="begin"/>
          </w:r>
          <w:r>
            <w:instrText xml:space="preserve"> HYPERLINK \l "_Toc30191_WPSOffice_Level1" </w:instrText>
          </w:r>
          <w:r>
            <w:fldChar w:fldCharType="separate"/>
          </w:r>
          <w:r>
            <w:rPr>
              <w:rFonts w:hint="eastAsia" w:ascii="方正小标宋简体" w:hAnsi="方正小标宋简体" w:eastAsia="方正小标宋简体" w:cs="方正小标宋简体"/>
            </w:rPr>
            <w:t>第四部分  响应文件格式</w:t>
          </w:r>
          <w:r>
            <w:tab/>
          </w:r>
          <w:bookmarkStart w:id="13" w:name="_Toc30191_WPSOffice_Level1Page"/>
          <w:r>
            <w:t>2</w:t>
          </w:r>
          <w:bookmarkEnd w:id="13"/>
          <w:r>
            <w:rPr>
              <w:rFonts w:hint="eastAsia"/>
            </w:rPr>
            <w:t>0</w:t>
          </w:r>
          <w:r>
            <w:rPr>
              <w:rFonts w:hint="eastAsia"/>
            </w:rPr>
            <w:fldChar w:fldCharType="end"/>
          </w:r>
        </w:p>
        <w:p>
          <w:pPr>
            <w:pStyle w:val="40"/>
            <w:tabs>
              <w:tab w:val="right" w:leader="dot" w:pos="9115"/>
            </w:tabs>
            <w:ind w:firstLine="400" w:firstLineChars="200"/>
          </w:pPr>
          <w:r>
            <w:fldChar w:fldCharType="begin"/>
          </w:r>
          <w:r>
            <w:instrText xml:space="preserve"> HYPERLINK \l "_Toc25755_WPSOffice_Level1" </w:instrText>
          </w:r>
          <w:r>
            <w:fldChar w:fldCharType="separate"/>
          </w:r>
          <w:r>
            <w:rPr>
              <w:rFonts w:hint="eastAsia" w:ascii="Arial" w:hAnsi="Arial" w:eastAsia="黑体"/>
            </w:rPr>
            <w:t>格式一：响应一览表</w:t>
          </w:r>
          <w:r>
            <w:tab/>
          </w:r>
          <w:bookmarkStart w:id="14" w:name="_Toc25755_WPSOffice_Level1Page"/>
          <w:r>
            <w:t>2</w:t>
          </w:r>
          <w:bookmarkEnd w:id="14"/>
          <w:r>
            <w:rPr>
              <w:rFonts w:hint="eastAsia"/>
            </w:rPr>
            <w:t>2</w:t>
          </w:r>
          <w:r>
            <w:rPr>
              <w:rFonts w:hint="eastAsia"/>
            </w:rPr>
            <w:fldChar w:fldCharType="end"/>
          </w:r>
        </w:p>
        <w:p>
          <w:pPr>
            <w:pStyle w:val="40"/>
            <w:tabs>
              <w:tab w:val="right" w:leader="dot" w:pos="9115"/>
            </w:tabs>
            <w:ind w:firstLine="400" w:firstLineChars="200"/>
          </w:pPr>
          <w:r>
            <w:fldChar w:fldCharType="begin"/>
          </w:r>
          <w:r>
            <w:instrText xml:space="preserve"> HYPERLINK \l "_Toc10138_WPSOffice_Level1" </w:instrText>
          </w:r>
          <w:r>
            <w:fldChar w:fldCharType="separate"/>
          </w:r>
          <w:r>
            <w:rPr>
              <w:rFonts w:hint="eastAsia" w:ascii="Arial" w:hAnsi="Arial" w:eastAsia="黑体"/>
            </w:rPr>
            <w:t>格式二：法定代表人资格证明书</w:t>
          </w:r>
          <w:r>
            <w:tab/>
          </w:r>
          <w:bookmarkStart w:id="15" w:name="_Toc10138_WPSOffice_Level1Page"/>
          <w:r>
            <w:t>2</w:t>
          </w:r>
          <w:bookmarkEnd w:id="15"/>
          <w:r>
            <w:rPr>
              <w:rFonts w:hint="eastAsia"/>
            </w:rPr>
            <w:t>3</w:t>
          </w:r>
          <w:r>
            <w:rPr>
              <w:rFonts w:hint="eastAsia"/>
            </w:rPr>
            <w:fldChar w:fldCharType="end"/>
          </w:r>
        </w:p>
        <w:p>
          <w:pPr>
            <w:pStyle w:val="40"/>
            <w:tabs>
              <w:tab w:val="right" w:leader="dot" w:pos="9115"/>
            </w:tabs>
            <w:ind w:firstLine="400" w:firstLineChars="200"/>
          </w:pPr>
          <w:r>
            <w:fldChar w:fldCharType="begin"/>
          </w:r>
          <w:r>
            <w:instrText xml:space="preserve"> HYPERLINK \l "_Toc18406_WPSOffice_Level1" </w:instrText>
          </w:r>
          <w:r>
            <w:fldChar w:fldCharType="separate"/>
          </w:r>
          <w:r>
            <w:rPr>
              <w:rFonts w:hint="eastAsia" w:ascii="Arial" w:hAnsi="Arial" w:eastAsia="黑体"/>
            </w:rPr>
            <w:t>格式三：法定代表人授权委托书</w:t>
          </w:r>
          <w:r>
            <w:tab/>
          </w:r>
          <w:bookmarkStart w:id="16" w:name="_Toc18406_WPSOffice_Level1Page"/>
          <w:r>
            <w:t>2</w:t>
          </w:r>
          <w:bookmarkEnd w:id="16"/>
          <w:r>
            <w:rPr>
              <w:rFonts w:hint="eastAsia"/>
            </w:rPr>
            <w:t>4</w:t>
          </w:r>
          <w:r>
            <w:rPr>
              <w:rFonts w:hint="eastAsia"/>
            </w:rPr>
            <w:fldChar w:fldCharType="end"/>
          </w:r>
        </w:p>
        <w:p>
          <w:pPr>
            <w:pStyle w:val="40"/>
            <w:tabs>
              <w:tab w:val="right" w:leader="dot" w:pos="9115"/>
            </w:tabs>
            <w:ind w:firstLine="400" w:firstLineChars="200"/>
          </w:pPr>
          <w:r>
            <w:fldChar w:fldCharType="begin"/>
          </w:r>
          <w:r>
            <w:instrText xml:space="preserve"> HYPERLINK \l "_Toc21914_WPSOffice_Level1" </w:instrText>
          </w:r>
          <w:r>
            <w:fldChar w:fldCharType="separate"/>
          </w:r>
          <w:r>
            <w:rPr>
              <w:rFonts w:hint="eastAsia" w:ascii="Arial" w:hAnsi="Arial" w:eastAsia="黑体"/>
            </w:rPr>
            <w:t>格式四：响应单位的资质证明材料</w:t>
          </w:r>
          <w:r>
            <w:tab/>
          </w:r>
          <w:bookmarkStart w:id="17" w:name="_Toc21914_WPSOffice_Level1Page"/>
          <w:r>
            <w:t>2</w:t>
          </w:r>
          <w:bookmarkEnd w:id="17"/>
          <w:r>
            <w:rPr>
              <w:rFonts w:hint="eastAsia"/>
            </w:rPr>
            <w:t>5</w:t>
          </w:r>
          <w:r>
            <w:rPr>
              <w:rFonts w:hint="eastAsia"/>
            </w:rPr>
            <w:fldChar w:fldCharType="end"/>
          </w:r>
        </w:p>
        <w:p>
          <w:pPr>
            <w:pStyle w:val="40"/>
            <w:tabs>
              <w:tab w:val="right" w:leader="dot" w:pos="9115"/>
            </w:tabs>
            <w:ind w:firstLine="400" w:firstLineChars="200"/>
          </w:pPr>
          <w:r>
            <w:fldChar w:fldCharType="begin"/>
          </w:r>
          <w:r>
            <w:instrText xml:space="preserve"> HYPERLINK \l "_Toc23874_WPSOffice_Level1" </w:instrText>
          </w:r>
          <w:r>
            <w:fldChar w:fldCharType="separate"/>
          </w:r>
          <w:r>
            <w:rPr>
              <w:rFonts w:ascii="Arial" w:hAnsi="Arial" w:eastAsia="黑体"/>
            </w:rPr>
            <w:t>格式</w:t>
          </w:r>
          <w:r>
            <w:rPr>
              <w:rFonts w:hint="eastAsia" w:ascii="Arial" w:hAnsi="Arial" w:eastAsia="黑体"/>
            </w:rPr>
            <w:t>五</w:t>
          </w:r>
          <w:r>
            <w:rPr>
              <w:rFonts w:ascii="Arial" w:hAnsi="Arial" w:eastAsia="黑体"/>
            </w:rPr>
            <w:t>：廉洁诚信承诺书</w:t>
          </w:r>
          <w:r>
            <w:tab/>
          </w:r>
          <w:bookmarkStart w:id="18" w:name="_Toc23874_WPSOffice_Level1Page"/>
          <w:r>
            <w:t>2</w:t>
          </w:r>
          <w:bookmarkEnd w:id="18"/>
          <w:r>
            <w:rPr>
              <w:rFonts w:hint="eastAsia"/>
            </w:rPr>
            <w:t>6</w:t>
          </w:r>
          <w:r>
            <w:rPr>
              <w:rFonts w:hint="eastAsia"/>
            </w:rPr>
            <w:fldChar w:fldCharType="end"/>
          </w:r>
        </w:p>
        <w:p>
          <w:pPr>
            <w:pStyle w:val="40"/>
            <w:tabs>
              <w:tab w:val="right" w:leader="dot" w:pos="9115"/>
            </w:tabs>
            <w:ind w:firstLine="400" w:firstLineChars="200"/>
          </w:pPr>
          <w:r>
            <w:fldChar w:fldCharType="begin"/>
          </w:r>
          <w:r>
            <w:instrText xml:space="preserve"> HYPERLINK \l "_Toc4646_WPSOffice_Level1" </w:instrText>
          </w:r>
          <w:r>
            <w:fldChar w:fldCharType="separate"/>
          </w:r>
          <w:r>
            <w:rPr>
              <w:rFonts w:ascii="Arial" w:hAnsi="Arial" w:eastAsia="黑体"/>
            </w:rPr>
            <w:t>格式</w:t>
          </w:r>
          <w:r>
            <w:rPr>
              <w:rFonts w:hint="eastAsia" w:ascii="Arial" w:hAnsi="Arial" w:eastAsia="黑体"/>
            </w:rPr>
            <w:t>六</w:t>
          </w:r>
          <w:r>
            <w:rPr>
              <w:rFonts w:ascii="Arial" w:hAnsi="Arial" w:eastAsia="黑体"/>
            </w:rPr>
            <w:t>：售后服务承诺函</w:t>
          </w:r>
          <w:r>
            <w:tab/>
          </w:r>
          <w:bookmarkStart w:id="19" w:name="_Toc4646_WPSOffice_Level1Page"/>
          <w:r>
            <w:t>2</w:t>
          </w:r>
          <w:bookmarkEnd w:id="19"/>
          <w:r>
            <w:rPr>
              <w:rFonts w:hint="eastAsia"/>
            </w:rPr>
            <w:t>7</w:t>
          </w:r>
          <w:r>
            <w:rPr>
              <w:rFonts w:hint="eastAsia"/>
            </w:rPr>
            <w:fldChar w:fldCharType="end"/>
          </w:r>
        </w:p>
        <w:p>
          <w:pPr>
            <w:pStyle w:val="40"/>
            <w:tabs>
              <w:tab w:val="right" w:leader="dot" w:pos="9115"/>
            </w:tabs>
            <w:ind w:firstLine="400" w:firstLineChars="200"/>
          </w:pPr>
          <w:r>
            <w:fldChar w:fldCharType="begin"/>
          </w:r>
          <w:r>
            <w:instrText xml:space="preserve"> HYPERLINK \l "_Toc10099_WPSOffice_Level1" </w:instrText>
          </w:r>
          <w:r>
            <w:fldChar w:fldCharType="separate"/>
          </w:r>
          <w:r>
            <w:rPr>
              <w:rFonts w:hint="eastAsia" w:ascii="Arial" w:hAnsi="Arial" w:eastAsia="黑体"/>
            </w:rPr>
            <w:t>格式七：项目方案</w:t>
          </w:r>
          <w:r>
            <w:tab/>
          </w:r>
          <w:r>
            <w:rPr>
              <w:rFonts w:hint="eastAsia"/>
            </w:rPr>
            <w:t>2</w:t>
          </w:r>
          <w:r>
            <w:rPr>
              <w:rFonts w:hint="eastAsia"/>
            </w:rPr>
            <w:fldChar w:fldCharType="end"/>
          </w:r>
          <w:r>
            <w:rPr>
              <w:rFonts w:hint="eastAsia"/>
            </w:rPr>
            <w:t>8</w:t>
          </w:r>
        </w:p>
        <w:p>
          <w:pPr>
            <w:pStyle w:val="3"/>
            <w:keepNext w:val="0"/>
            <w:keepLines w:val="0"/>
            <w:widowControl w:val="0"/>
            <w:numPr>
              <w:ilvl w:val="0"/>
              <w:numId w:val="0"/>
            </w:numPr>
            <w:spacing w:beforeLines="50" w:afterLines="100" w:line="580" w:lineRule="exact"/>
            <w:rPr>
              <w:rFonts w:ascii="方正小标宋简体" w:hAnsi="方正小标宋简体" w:eastAsia="方正小标宋简体" w:cs="方正小标宋简体"/>
              <w:b w:val="0"/>
              <w:kern w:val="0"/>
            </w:rPr>
          </w:pPr>
        </w:p>
      </w:sdtContent>
    </w:sdt>
    <w:p>
      <w:pPr>
        <w:pStyle w:val="3"/>
        <w:keepNext w:val="0"/>
        <w:keepLines w:val="0"/>
        <w:widowControl w:val="0"/>
        <w:numPr>
          <w:ilvl w:val="0"/>
          <w:numId w:val="0"/>
        </w:numPr>
        <w:spacing w:beforeLines="50" w:afterLines="100" w:line="580" w:lineRule="exact"/>
        <w:jc w:val="center"/>
        <w:rPr>
          <w:rFonts w:ascii="方正小标宋简体" w:hAnsi="方正小标宋简体" w:eastAsia="方正小标宋简体" w:cs="方正小标宋简体"/>
          <w:b w:val="0"/>
          <w:kern w:val="0"/>
        </w:rPr>
      </w:pPr>
    </w:p>
    <w:p>
      <w:pPr>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3"/>
        <w:keepNext w:val="0"/>
        <w:keepLines w:val="0"/>
        <w:widowControl w:val="0"/>
        <w:numPr>
          <w:ilvl w:val="0"/>
          <w:numId w:val="0"/>
        </w:numPr>
        <w:spacing w:beforeLines="50" w:afterLines="100" w:line="580" w:lineRule="exact"/>
        <w:jc w:val="center"/>
        <w:rPr>
          <w:rFonts w:ascii="方正小标宋简体" w:hAnsi="方正小标宋简体" w:eastAsia="方正小标宋简体" w:cs="方正小标宋简体"/>
          <w:b w:val="0"/>
          <w:kern w:val="0"/>
        </w:rPr>
      </w:pPr>
    </w:p>
    <w:p>
      <w:pPr>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p>
    <w:p>
      <w:pPr>
        <w:pStyle w:val="2"/>
        <w:rPr>
          <w:rFonts w:ascii="方正小标宋简体" w:hAnsi="方正小标宋简体" w:eastAsia="方正小标宋简体" w:cs="方正小标宋简体"/>
          <w:b w:val="0"/>
          <w:kern w:val="0"/>
        </w:rPr>
      </w:pPr>
      <w:bookmarkStart w:id="487" w:name="_GoBack"/>
      <w:bookmarkEnd w:id="487"/>
    </w:p>
    <w:p>
      <w:pPr>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2"/>
        <w:rPr>
          <w:rFonts w:ascii="方正小标宋简体" w:hAnsi="方正小标宋简体" w:eastAsia="方正小标宋简体" w:cs="方正小标宋简体"/>
          <w:kern w:val="0"/>
        </w:rPr>
      </w:pPr>
    </w:p>
    <w:p>
      <w:pPr>
        <w:pStyle w:val="3"/>
        <w:keepNext w:val="0"/>
        <w:keepLines w:val="0"/>
        <w:widowControl w:val="0"/>
        <w:numPr>
          <w:ilvl w:val="0"/>
          <w:numId w:val="2"/>
        </w:numPr>
        <w:spacing w:beforeLines="50" w:afterLines="100" w:line="580" w:lineRule="exact"/>
        <w:jc w:val="center"/>
        <w:rPr>
          <w:rFonts w:ascii="方正小标宋简体" w:hAnsi="方正小标宋简体" w:eastAsia="方正小标宋简体" w:cs="方正小标宋简体"/>
          <w:b w:val="0"/>
          <w:kern w:val="0"/>
        </w:rPr>
      </w:pPr>
      <w:r>
        <w:rPr>
          <w:rFonts w:hint="eastAsia" w:ascii="方正小标宋简体" w:hAnsi="方正小标宋简体" w:eastAsia="方正小标宋简体" w:cs="方正小标宋简体"/>
          <w:b w:val="0"/>
          <w:kern w:val="0"/>
        </w:rPr>
        <w:t>第一部分 响应须知</w:t>
      </w:r>
    </w:p>
    <w:p>
      <w:pPr>
        <w:pStyle w:val="4"/>
        <w:numPr>
          <w:ilvl w:val="0"/>
          <w:numId w:val="0"/>
        </w:numPr>
        <w:spacing w:before="312" w:after="156" w:line="560" w:lineRule="exact"/>
        <w:ind w:left="576" w:hanging="576"/>
      </w:pPr>
      <w:bookmarkStart w:id="20" w:name="_Toc24929_WPSOffice_Level2"/>
      <w:bookmarkStart w:id="21" w:name="_Toc29224_WPSOffice_Level2"/>
      <w:bookmarkStart w:id="22" w:name="_Toc101_WPSOffice_Level2"/>
      <w:bookmarkStart w:id="23" w:name="_Toc22015_WPSOffice_Level2"/>
      <w:bookmarkStart w:id="24" w:name="_Toc2817_WPSOffice_Level2"/>
      <w:bookmarkStart w:id="25" w:name="_Toc20087_WPSOffice_Level2"/>
      <w:r>
        <w:rPr>
          <w:rFonts w:hint="eastAsia"/>
        </w:rPr>
        <w:t>1.响应须知前附表</w:t>
      </w:r>
      <w:bookmarkEnd w:id="20"/>
      <w:bookmarkEnd w:id="21"/>
      <w:bookmarkEnd w:id="22"/>
      <w:bookmarkEnd w:id="23"/>
      <w:bookmarkEnd w:id="24"/>
      <w:bookmarkEnd w:id="25"/>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本次采购方式为竞争性磋商，采购项目的项目主办人和采购人均为厦门思明国有控股集团有限公司（以下简称思明控股集团）。响应供应商请仔细阅读本采购文件的内容以保证提交完整有效的响应文件参加竞标活动。 </w:t>
      </w:r>
    </w:p>
    <w:tbl>
      <w:tblPr>
        <w:tblStyle w:val="2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5"/>
        <w:gridCol w:w="73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项目名称</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rPr>
                <w:rFonts w:ascii="仿宋" w:hAnsi="仿宋" w:eastAsia="仿宋"/>
                <w:color w:val="FFFF00"/>
                <w:sz w:val="24"/>
                <w:szCs w:val="24"/>
              </w:rPr>
            </w:pPr>
            <w:r>
              <w:rPr>
                <w:rFonts w:hint="eastAsia" w:ascii="仿宋" w:hAnsi="仿宋" w:eastAsia="仿宋"/>
                <w:sz w:val="24"/>
                <w:szCs w:val="24"/>
              </w:rPr>
              <w:t>思明控股集团员工职涯体系、薪酬体系、绩效与激励办法咨询项目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03"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项目说明</w:t>
            </w:r>
          </w:p>
        </w:tc>
        <w:tc>
          <w:tcPr>
            <w:tcW w:w="73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采购范围：通过调查诊断，建立思明控股集团本部及下属各子公司的员工职涯体系、薪酬体系、绩效与激励管理体系，同时协助宣贯、落地执行。</w:t>
            </w:r>
          </w:p>
          <w:p>
            <w:pPr>
              <w:rPr>
                <w:rFonts w:ascii="仿宋" w:hAnsi="仿宋" w:eastAsia="仿宋"/>
                <w:sz w:val="24"/>
                <w:szCs w:val="24"/>
              </w:rPr>
            </w:pPr>
            <w:r>
              <w:rPr>
                <w:rFonts w:hint="eastAsia" w:ascii="仿宋" w:hAnsi="仿宋" w:eastAsia="仿宋"/>
                <w:sz w:val="24"/>
                <w:szCs w:val="24"/>
              </w:rPr>
              <w:t>工    期：合同签订后至2022年12月31日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ascii="仿宋" w:hAnsi="仿宋" w:eastAsia="仿宋"/>
                <w:b/>
                <w:bCs/>
                <w:sz w:val="24"/>
                <w:szCs w:val="24"/>
              </w:rPr>
              <w:t>项目控制价</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r>
              <w:rPr>
                <w:rFonts w:hint="eastAsia" w:ascii="仿宋" w:hAnsi="仿宋" w:eastAsia="仿宋"/>
                <w:sz w:val="24"/>
                <w:szCs w:val="24"/>
              </w:rPr>
              <w:t>不超过人民币80万元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38"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采购人</w:t>
            </w:r>
          </w:p>
        </w:tc>
        <w:tc>
          <w:tcPr>
            <w:tcW w:w="73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招 标 人：厦门思明国有控股集团有限公司</w:t>
            </w:r>
          </w:p>
          <w:p>
            <w:pPr>
              <w:rPr>
                <w:rFonts w:ascii="仿宋" w:hAnsi="仿宋" w:eastAsia="仿宋"/>
                <w:sz w:val="24"/>
                <w:szCs w:val="24"/>
              </w:rPr>
            </w:pPr>
            <w:r>
              <w:rPr>
                <w:rFonts w:hint="eastAsia" w:ascii="仿宋" w:hAnsi="仿宋" w:eastAsia="仿宋"/>
                <w:sz w:val="24"/>
                <w:szCs w:val="24"/>
              </w:rPr>
              <w:t>联 系 人：曾女士</w:t>
            </w:r>
          </w:p>
          <w:p>
            <w:pPr>
              <w:rPr>
                <w:rFonts w:ascii="仿宋" w:hAnsi="仿宋" w:eastAsia="仿宋"/>
                <w:sz w:val="24"/>
                <w:szCs w:val="24"/>
              </w:rPr>
            </w:pPr>
            <w:r>
              <w:rPr>
                <w:rFonts w:hint="eastAsia" w:ascii="仿宋" w:hAnsi="仿宋" w:eastAsia="仿宋"/>
                <w:sz w:val="24"/>
                <w:szCs w:val="24"/>
              </w:rPr>
              <w:t xml:space="preserve">联系电话：15160052959  </w:t>
            </w:r>
          </w:p>
          <w:p>
            <w:pPr>
              <w:rPr>
                <w:rFonts w:ascii="仿宋" w:hAnsi="仿宋" w:eastAsia="仿宋"/>
                <w:sz w:val="24"/>
                <w:szCs w:val="24"/>
              </w:rPr>
            </w:pPr>
            <w:r>
              <w:rPr>
                <w:rFonts w:hint="eastAsia" w:ascii="仿宋" w:hAnsi="仿宋" w:eastAsia="仿宋"/>
                <w:sz w:val="24"/>
                <w:szCs w:val="24"/>
              </w:rPr>
              <w:t xml:space="preserve">电子邮件：zqh@xmsmkg.com      </w:t>
            </w:r>
          </w:p>
          <w:p>
            <w:pPr>
              <w:rPr>
                <w:rFonts w:ascii="仿宋" w:hAnsi="仿宋" w:eastAsia="仿宋"/>
                <w:sz w:val="24"/>
                <w:szCs w:val="24"/>
              </w:rPr>
            </w:pPr>
            <w:r>
              <w:rPr>
                <w:rFonts w:hint="eastAsia" w:ascii="仿宋" w:hAnsi="仿宋" w:eastAsia="仿宋"/>
                <w:sz w:val="24"/>
                <w:szCs w:val="24"/>
              </w:rPr>
              <w:t xml:space="preserve">地    址：厦门思明区台东路68号18层邮编：361000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响应有效期</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r>
              <w:rPr>
                <w:rFonts w:hint="eastAsia" w:ascii="仿宋" w:hAnsi="仿宋" w:eastAsia="仿宋"/>
                <w:sz w:val="24"/>
                <w:szCs w:val="24"/>
              </w:rPr>
              <w:t>响应截止时间后90个日历日内有效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响应文件份数</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r>
              <w:rPr>
                <w:rFonts w:hint="eastAsia" w:ascii="仿宋" w:hAnsi="仿宋" w:eastAsia="仿宋"/>
                <w:sz w:val="24"/>
                <w:szCs w:val="24"/>
              </w:rPr>
              <w:t>正本1份，副本2份，电子档材料1份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5"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采购文件</w:t>
            </w:r>
          </w:p>
        </w:tc>
        <w:tc>
          <w:tcPr>
            <w:tcW w:w="7358" w:type="dxa"/>
            <w:tcBorders>
              <w:top w:val="single" w:color="auto" w:sz="4" w:space="0"/>
              <w:left w:val="single" w:color="auto" w:sz="4" w:space="0"/>
              <w:bottom w:val="single" w:color="auto" w:sz="4" w:space="0"/>
              <w:right w:val="single" w:color="auto" w:sz="4" w:space="0"/>
            </w:tcBorders>
            <w:vAlign w:val="center"/>
          </w:tcPr>
          <w:p>
            <w:pPr>
              <w:pStyle w:val="18"/>
              <w:jc w:val="both"/>
              <w:rPr>
                <w:rFonts w:ascii="仿宋" w:hAnsi="仿宋" w:eastAsia="仿宋"/>
                <w:sz w:val="24"/>
                <w:szCs w:val="24"/>
              </w:rPr>
            </w:pPr>
            <w:r>
              <w:rPr>
                <w:rFonts w:hint="eastAsia" w:ascii="仿宋" w:hAnsi="仿宋" w:eastAsia="仿宋"/>
                <w:sz w:val="24"/>
                <w:szCs w:val="24"/>
              </w:rPr>
              <w:t>响应供应商自行在思明控股集团网站下载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响应文件递交</w:t>
            </w:r>
          </w:p>
        </w:tc>
        <w:tc>
          <w:tcPr>
            <w:tcW w:w="73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厦门思明区台东路68号18层思明控股集团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响应截止与磋商开始时间</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bookmarkStart w:id="26" w:name="B22_投标截止日期"/>
            <w:r>
              <w:rPr>
                <w:rFonts w:hint="eastAsia" w:ascii="仿宋" w:hAnsi="仿宋" w:eastAsia="仿宋"/>
                <w:sz w:val="24"/>
                <w:szCs w:val="24"/>
              </w:rPr>
              <w:t>2022年 9月8日</w:t>
            </w:r>
            <w:bookmarkEnd w:id="26"/>
            <w:bookmarkStart w:id="27" w:name="B23_投标截止时间"/>
            <w:r>
              <w:rPr>
                <w:rFonts w:hint="eastAsia" w:ascii="仿宋" w:hAnsi="仿宋" w:eastAsia="仿宋"/>
                <w:sz w:val="24"/>
                <w:szCs w:val="24"/>
              </w:rPr>
              <w:t>9:30</w:t>
            </w:r>
            <w:bookmarkEnd w:id="27"/>
            <w:r>
              <w:rPr>
                <w:rFonts w:hint="eastAsia" w:ascii="仿宋" w:hAnsi="仿宋" w:eastAsia="仿宋"/>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5"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磋商地点</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r>
              <w:rPr>
                <w:rFonts w:hint="eastAsia" w:ascii="仿宋" w:hAnsi="仿宋" w:eastAsia="仿宋"/>
                <w:sz w:val="24"/>
                <w:szCs w:val="24"/>
              </w:rPr>
              <w:t>厦门思明区台东路68号18层1801单元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ascii="仿宋" w:hAnsi="仿宋" w:eastAsia="仿宋"/>
                <w:b/>
                <w:bCs/>
                <w:sz w:val="24"/>
                <w:szCs w:val="24"/>
              </w:rPr>
              <w:t>答疑</w:t>
            </w:r>
          </w:p>
        </w:tc>
        <w:tc>
          <w:tcPr>
            <w:tcW w:w="735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仿宋" w:hAnsi="仿宋" w:eastAsia="仿宋"/>
                <w:sz w:val="24"/>
                <w:szCs w:val="24"/>
              </w:rPr>
            </w:pPr>
            <w:r>
              <w:rPr>
                <w:rFonts w:hint="eastAsia" w:ascii="仿宋" w:hAnsi="仿宋" w:eastAsia="仿宋"/>
                <w:sz w:val="24"/>
                <w:szCs w:val="24"/>
              </w:rPr>
              <w:t>凡对本次采购文件提出询问，请于2022年9月5日17:30前与采购人联系，对文件中所提的有关问题请以书面（加盖公章）或电子邮件形式递送到上述地址，采购人将视情况采用适当方式予以澄清或以邮件形式予以答复。答疑文件作为响应文件的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b/>
                <w:bCs/>
                <w:sz w:val="24"/>
                <w:szCs w:val="24"/>
              </w:rPr>
            </w:pPr>
            <w:r>
              <w:rPr>
                <w:rFonts w:hint="eastAsia" w:ascii="仿宋" w:hAnsi="仿宋" w:eastAsia="仿宋"/>
                <w:b/>
                <w:bCs/>
                <w:sz w:val="24"/>
                <w:szCs w:val="24"/>
              </w:rPr>
              <w:t>备注</w:t>
            </w:r>
          </w:p>
        </w:tc>
        <w:tc>
          <w:tcPr>
            <w:tcW w:w="7358" w:type="dxa"/>
            <w:tcBorders>
              <w:top w:val="single" w:color="auto" w:sz="4" w:space="0"/>
              <w:left w:val="single" w:color="auto" w:sz="4" w:space="0"/>
              <w:bottom w:val="single" w:color="auto" w:sz="4" w:space="0"/>
              <w:right w:val="single" w:color="auto" w:sz="4" w:space="0"/>
            </w:tcBorders>
            <w:vAlign w:val="center"/>
          </w:tcPr>
          <w:p>
            <w:pPr>
              <w:pStyle w:val="18"/>
              <w:jc w:val="both"/>
              <w:rPr>
                <w:rFonts w:ascii="仿宋" w:hAnsi="仿宋" w:eastAsia="仿宋"/>
                <w:sz w:val="24"/>
                <w:szCs w:val="24"/>
              </w:rPr>
            </w:pPr>
            <w:r>
              <w:rPr>
                <w:rFonts w:hint="eastAsia" w:ascii="仿宋" w:hAnsi="仿宋" w:eastAsia="仿宋"/>
                <w:sz w:val="24"/>
                <w:szCs w:val="24"/>
              </w:rPr>
              <w:t>本</w:t>
            </w:r>
            <w:r>
              <w:rPr>
                <w:rFonts w:ascii="仿宋" w:hAnsi="仿宋" w:eastAsia="仿宋"/>
                <w:sz w:val="24"/>
                <w:szCs w:val="24"/>
              </w:rPr>
              <w:t>采购</w:t>
            </w:r>
            <w:r>
              <w:rPr>
                <w:rFonts w:hint="eastAsia" w:ascii="仿宋" w:hAnsi="仿宋" w:eastAsia="仿宋"/>
                <w:sz w:val="24"/>
                <w:szCs w:val="24"/>
              </w:rPr>
              <w:t>采购文件的解释权归采购人所有。</w:t>
            </w:r>
          </w:p>
        </w:tc>
      </w:tr>
    </w:tbl>
    <w:p>
      <w:pPr>
        <w:rPr>
          <w:sz w:val="24"/>
          <w:szCs w:val="24"/>
        </w:rPr>
      </w:pPr>
      <w:bookmarkStart w:id="28" w:name="_Toc31963_WPSOffice_Level2"/>
      <w:bookmarkStart w:id="29" w:name="_Toc16280"/>
      <w:bookmarkStart w:id="30" w:name="_Toc7245_WPSOffice_Level2"/>
    </w:p>
    <w:p>
      <w:pPr>
        <w:pStyle w:val="4"/>
        <w:numPr>
          <w:ilvl w:val="0"/>
          <w:numId w:val="0"/>
        </w:numPr>
        <w:spacing w:before="312" w:after="156" w:line="560" w:lineRule="exact"/>
      </w:pPr>
      <w:bookmarkStart w:id="31" w:name="_Toc19282_WPSOffice_Level2"/>
    </w:p>
    <w:p>
      <w:pPr>
        <w:pStyle w:val="4"/>
        <w:numPr>
          <w:ilvl w:val="0"/>
          <w:numId w:val="0"/>
        </w:numPr>
        <w:spacing w:before="312" w:after="156" w:line="560" w:lineRule="exact"/>
        <w:ind w:left="576" w:hanging="576"/>
      </w:pPr>
      <w:bookmarkStart w:id="32" w:name="_Toc25555_WPSOffice_Level2"/>
      <w:bookmarkStart w:id="33" w:name="_Toc13390_WPSOffice_Level2"/>
      <w:r>
        <w:rPr>
          <w:rFonts w:hint="eastAsia"/>
        </w:rPr>
        <w:t>2.采购说明</w:t>
      </w:r>
      <w:bookmarkEnd w:id="28"/>
      <w:bookmarkEnd w:id="29"/>
      <w:bookmarkEnd w:id="30"/>
      <w:bookmarkEnd w:id="31"/>
      <w:bookmarkEnd w:id="32"/>
      <w:bookmarkEnd w:id="33"/>
    </w:p>
    <w:p>
      <w:pPr>
        <w:widowControl w:val="0"/>
        <w:spacing w:line="560" w:lineRule="exact"/>
        <w:ind w:firstLine="482" w:firstLineChars="200"/>
        <w:rPr>
          <w:rFonts w:ascii="仿宋" w:hAnsi="仿宋" w:eastAsia="仿宋" w:cs="仿宋"/>
          <w:b/>
          <w:sz w:val="24"/>
          <w:szCs w:val="24"/>
        </w:rPr>
      </w:pPr>
      <w:bookmarkStart w:id="34" w:name="_Toc20087_WPSOffice_Level3"/>
      <w:bookmarkStart w:id="35" w:name="_Toc22015_WPSOffice_Level3"/>
      <w:bookmarkStart w:id="36" w:name="_Toc29224_WPSOffice_Level3"/>
      <w:bookmarkStart w:id="37" w:name="_Toc2817_WPSOffice_Level3"/>
      <w:bookmarkStart w:id="38" w:name="_Toc101_WPSOffice_Level3"/>
      <w:r>
        <w:rPr>
          <w:rFonts w:hint="eastAsia" w:ascii="仿宋" w:hAnsi="仿宋" w:eastAsia="仿宋" w:cs="仿宋"/>
          <w:b/>
          <w:sz w:val="24"/>
          <w:szCs w:val="24"/>
        </w:rPr>
        <w:t>2.1项目名称</w:t>
      </w:r>
      <w:bookmarkEnd w:id="34"/>
      <w:bookmarkEnd w:id="35"/>
      <w:bookmarkEnd w:id="36"/>
      <w:bookmarkEnd w:id="37"/>
      <w:bookmarkEnd w:id="38"/>
    </w:p>
    <w:p>
      <w:pPr>
        <w:widowControl w:val="0"/>
        <w:spacing w:line="560" w:lineRule="exact"/>
        <w:ind w:firstLine="480" w:firstLineChars="200"/>
        <w:rPr>
          <w:rFonts w:ascii="仿宋" w:hAnsi="仿宋" w:eastAsia="仿宋" w:cs="仿宋"/>
          <w:sz w:val="24"/>
          <w:szCs w:val="24"/>
        </w:rPr>
      </w:pPr>
      <w:bookmarkStart w:id="39" w:name="_Toc184573400"/>
      <w:bookmarkStart w:id="40" w:name="_Toc184573069"/>
      <w:r>
        <w:rPr>
          <w:rFonts w:hint="eastAsia" w:ascii="仿宋" w:hAnsi="仿宋" w:eastAsia="仿宋"/>
          <w:sz w:val="24"/>
          <w:szCs w:val="24"/>
        </w:rPr>
        <w:t>思明控股集团员工职涯体系、薪酬体系、绩效与激励办法咨询项目</w:t>
      </w:r>
    </w:p>
    <w:p>
      <w:pPr>
        <w:widowControl w:val="0"/>
        <w:spacing w:line="560" w:lineRule="exact"/>
        <w:ind w:firstLine="482" w:firstLineChars="200"/>
        <w:rPr>
          <w:rFonts w:ascii="仿宋" w:hAnsi="仿宋" w:eastAsia="仿宋" w:cs="仿宋"/>
          <w:b/>
          <w:sz w:val="24"/>
          <w:szCs w:val="24"/>
        </w:rPr>
      </w:pPr>
      <w:bookmarkStart w:id="41" w:name="_Toc19282_WPSOffice_Level3"/>
      <w:bookmarkStart w:id="42" w:name="_Toc7245_WPSOffice_Level3"/>
      <w:bookmarkStart w:id="43" w:name="_Toc13390_WPSOffice_Level3"/>
      <w:bookmarkStart w:id="44" w:name="_Toc25555_WPSOffice_Level3"/>
      <w:bookmarkStart w:id="45" w:name="_Toc31963_WPSOffice_Level3"/>
      <w:r>
        <w:rPr>
          <w:rFonts w:hint="eastAsia" w:ascii="仿宋" w:hAnsi="仿宋" w:eastAsia="仿宋" w:cs="仿宋"/>
          <w:b/>
          <w:sz w:val="24"/>
          <w:szCs w:val="24"/>
        </w:rPr>
        <w:t>2.2采购人、响应供应商及成交人</w:t>
      </w:r>
      <w:bookmarkEnd w:id="39"/>
      <w:bookmarkEnd w:id="40"/>
      <w:bookmarkEnd w:id="41"/>
      <w:bookmarkEnd w:id="42"/>
      <w:bookmarkEnd w:id="43"/>
      <w:bookmarkEnd w:id="44"/>
      <w:bookmarkEnd w:id="45"/>
    </w:p>
    <w:p>
      <w:pPr>
        <w:spacing w:line="560" w:lineRule="exact"/>
        <w:ind w:firstLine="480"/>
        <w:rPr>
          <w:rFonts w:ascii="仿宋" w:hAnsi="仿宋" w:eastAsia="仿宋" w:cs="仿宋"/>
          <w:sz w:val="24"/>
          <w:szCs w:val="24"/>
        </w:rPr>
      </w:pPr>
      <w:r>
        <w:rPr>
          <w:rFonts w:hint="eastAsia" w:ascii="仿宋" w:hAnsi="仿宋" w:eastAsia="仿宋" w:cs="仿宋"/>
          <w:sz w:val="24"/>
          <w:szCs w:val="24"/>
        </w:rPr>
        <w:t>本文件中采购人为</w:t>
      </w:r>
      <w:r>
        <w:rPr>
          <w:rFonts w:hint="eastAsia" w:ascii="仿宋" w:hAnsi="仿宋" w:eastAsia="仿宋"/>
          <w:sz w:val="24"/>
          <w:szCs w:val="24"/>
        </w:rPr>
        <w:t>厦门思明国有控股集团有限公司</w:t>
      </w:r>
      <w:r>
        <w:rPr>
          <w:rFonts w:hint="eastAsia" w:ascii="仿宋" w:hAnsi="仿宋" w:eastAsia="仿宋" w:cs="仿宋"/>
          <w:sz w:val="24"/>
          <w:szCs w:val="24"/>
        </w:rPr>
        <w:t>；</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响应供应商系指具备相应资质的咨询公司，</w:t>
      </w:r>
      <w:r>
        <w:rPr>
          <w:rFonts w:hint="eastAsia" w:ascii="仿宋" w:hAnsi="仿宋" w:eastAsia="仿宋"/>
          <w:sz w:val="24"/>
          <w:szCs w:val="24"/>
        </w:rPr>
        <w:t>向采购人作出参与响应的意思表示并按采购文件规定向采购人递交响应文件</w:t>
      </w:r>
      <w:r>
        <w:rPr>
          <w:rFonts w:hint="eastAsia" w:ascii="仿宋" w:hAnsi="仿宋" w:eastAsia="仿宋" w:cs="仿宋"/>
          <w:sz w:val="24"/>
          <w:szCs w:val="24"/>
        </w:rPr>
        <w:t>；</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成交人系指最后与采购人达成成交意向的供应商。</w:t>
      </w:r>
      <w:bookmarkStart w:id="46" w:name="_Toc184573070"/>
      <w:bookmarkStart w:id="47" w:name="_Toc184573401"/>
    </w:p>
    <w:p>
      <w:pPr>
        <w:spacing w:line="560" w:lineRule="exact"/>
        <w:ind w:firstLine="480"/>
        <w:rPr>
          <w:rFonts w:ascii="仿宋" w:hAnsi="仿宋" w:eastAsia="仿宋" w:cs="仿宋"/>
          <w:b/>
          <w:sz w:val="24"/>
          <w:szCs w:val="24"/>
        </w:rPr>
      </w:pPr>
      <w:bookmarkStart w:id="48" w:name="_Toc18873_WPSOffice_Level3"/>
      <w:bookmarkStart w:id="49" w:name="_Toc20563_WPSOffice_Level3"/>
      <w:bookmarkStart w:id="50" w:name="_Toc17307_WPSOffice_Level3"/>
      <w:bookmarkStart w:id="51" w:name="_Toc17218_WPSOffice_Level3"/>
      <w:bookmarkStart w:id="52" w:name="_Toc3840_WPSOffice_Level3"/>
      <w:r>
        <w:rPr>
          <w:rFonts w:hint="eastAsia" w:ascii="仿宋" w:hAnsi="仿宋" w:eastAsia="仿宋" w:cs="仿宋"/>
          <w:b/>
          <w:sz w:val="24"/>
          <w:szCs w:val="24"/>
        </w:rPr>
        <w:t>2.3采购范围</w:t>
      </w:r>
      <w:bookmarkEnd w:id="48"/>
      <w:bookmarkEnd w:id="49"/>
      <w:bookmarkEnd w:id="50"/>
      <w:bookmarkEnd w:id="51"/>
      <w:bookmarkEnd w:id="52"/>
    </w:p>
    <w:p>
      <w:pPr>
        <w:spacing w:line="560" w:lineRule="exact"/>
        <w:ind w:firstLine="480"/>
        <w:rPr>
          <w:rFonts w:ascii="仿宋" w:hAnsi="仿宋" w:eastAsia="仿宋"/>
          <w:color w:val="000000"/>
          <w:sz w:val="24"/>
          <w:szCs w:val="24"/>
        </w:rPr>
      </w:pPr>
      <w:r>
        <w:rPr>
          <w:rFonts w:hint="eastAsia" w:ascii="仿宋" w:hAnsi="仿宋" w:eastAsia="仿宋" w:cs="仿宋"/>
          <w:sz w:val="24"/>
          <w:szCs w:val="24"/>
        </w:rPr>
        <w:t>通过调查诊断，建立思明控股集团本部及下属各子公司的员工职涯体系、薪酬体系、绩效与激励管理体系，同时协助宣贯、落地执行。（详细内容见第二部分项目范围）</w:t>
      </w:r>
      <w:bookmarkEnd w:id="46"/>
      <w:bookmarkEnd w:id="47"/>
      <w:r>
        <w:rPr>
          <w:rFonts w:hint="eastAsia" w:ascii="仿宋" w:hAnsi="仿宋" w:eastAsia="仿宋" w:cs="仿宋"/>
          <w:sz w:val="24"/>
          <w:szCs w:val="24"/>
        </w:rPr>
        <w:t xml:space="preserve">。 </w:t>
      </w:r>
    </w:p>
    <w:p>
      <w:pPr>
        <w:spacing w:line="560" w:lineRule="exact"/>
        <w:ind w:firstLine="480"/>
        <w:rPr>
          <w:rFonts w:ascii="仿宋" w:hAnsi="仿宋" w:eastAsia="仿宋" w:cs="仿宋"/>
          <w:sz w:val="24"/>
          <w:szCs w:val="24"/>
        </w:rPr>
      </w:pPr>
      <w:bookmarkStart w:id="53" w:name="_Toc2220_WPSOffice_Level3"/>
      <w:bookmarkStart w:id="54" w:name="_Toc31626_WPSOffice_Level3"/>
      <w:bookmarkStart w:id="55" w:name="_Toc6022_WPSOffice_Level3"/>
      <w:bookmarkStart w:id="56" w:name="_Toc24947_WPSOffice_Level3"/>
      <w:bookmarkStart w:id="57" w:name="_Toc16302_WPSOffice_Level3"/>
      <w:r>
        <w:rPr>
          <w:rFonts w:hint="eastAsia" w:ascii="仿宋" w:hAnsi="仿宋" w:eastAsia="仿宋" w:cs="仿宋"/>
          <w:b/>
          <w:bCs/>
          <w:sz w:val="24"/>
          <w:szCs w:val="24"/>
        </w:rPr>
        <w:t>2.4履约保证金</w:t>
      </w:r>
      <w:bookmarkEnd w:id="53"/>
      <w:bookmarkEnd w:id="54"/>
      <w:bookmarkEnd w:id="55"/>
      <w:bookmarkEnd w:id="56"/>
      <w:bookmarkEnd w:id="57"/>
    </w:p>
    <w:p>
      <w:pPr>
        <w:spacing w:line="560" w:lineRule="exact"/>
        <w:ind w:firstLine="480"/>
        <w:rPr>
          <w:rFonts w:ascii="仿宋" w:hAnsi="仿宋" w:eastAsia="仿宋" w:cs="仿宋"/>
          <w:sz w:val="24"/>
          <w:szCs w:val="24"/>
        </w:rPr>
      </w:pPr>
      <w:bookmarkStart w:id="58" w:name="_Toc184573408"/>
      <w:bookmarkStart w:id="59" w:name="_Toc184573077"/>
      <w:r>
        <w:rPr>
          <w:rFonts w:hint="eastAsia" w:ascii="仿宋" w:hAnsi="仿宋" w:eastAsia="仿宋" w:cs="仿宋"/>
          <w:sz w:val="24"/>
          <w:szCs w:val="24"/>
        </w:rPr>
        <w:t>确定成交人并签订合同后，合同价款保留5%为履约保证金，所有成果评审通过并交付实施后半年内支付。</w:t>
      </w:r>
      <w:bookmarkEnd w:id="58"/>
      <w:bookmarkEnd w:id="59"/>
      <w:bookmarkStart w:id="60" w:name="_Toc5828_WPSOffice_Level2"/>
    </w:p>
    <w:p>
      <w:pPr>
        <w:pStyle w:val="4"/>
        <w:numPr>
          <w:ilvl w:val="0"/>
          <w:numId w:val="0"/>
        </w:numPr>
        <w:spacing w:before="312" w:after="156" w:line="560" w:lineRule="exact"/>
        <w:ind w:left="576" w:hanging="576"/>
      </w:pPr>
      <w:bookmarkStart w:id="61" w:name="_Toc18873_WPSOffice_Level2"/>
      <w:bookmarkStart w:id="62" w:name="_Toc17307_WPSOffice_Level2"/>
      <w:bookmarkStart w:id="63" w:name="_Toc3840_WPSOffice_Level2"/>
      <w:bookmarkStart w:id="64" w:name="_Toc17218_WPSOffice_Level2"/>
      <w:bookmarkStart w:id="65" w:name="_Toc20563_WPSOffice_Level2"/>
      <w:bookmarkStart w:id="66" w:name="_Toc8819_WPSOffice_Level2"/>
      <w:r>
        <w:rPr>
          <w:rFonts w:hint="eastAsia"/>
        </w:rPr>
        <w:t>3.响应供应商相关要求</w:t>
      </w:r>
      <w:bookmarkEnd w:id="61"/>
      <w:bookmarkEnd w:id="62"/>
      <w:bookmarkEnd w:id="63"/>
      <w:bookmarkEnd w:id="64"/>
      <w:bookmarkEnd w:id="65"/>
      <w:bookmarkEnd w:id="66"/>
    </w:p>
    <w:p>
      <w:pPr>
        <w:spacing w:line="560" w:lineRule="exact"/>
        <w:ind w:firstLine="480"/>
        <w:rPr>
          <w:rFonts w:ascii="仿宋" w:hAnsi="仿宋" w:eastAsia="仿宋" w:cs="仿宋"/>
          <w:b/>
          <w:bCs/>
          <w:sz w:val="24"/>
          <w:szCs w:val="24"/>
        </w:rPr>
      </w:pPr>
      <w:bookmarkStart w:id="67" w:name="_Toc23805_WPSOffice_Level3"/>
      <w:bookmarkStart w:id="68" w:name="_Toc9149_WPSOffice_Level3"/>
      <w:bookmarkStart w:id="69" w:name="_Toc6609_WPSOffice_Level3"/>
      <w:bookmarkStart w:id="70" w:name="_Toc862_WPSOffice_Level3"/>
      <w:bookmarkStart w:id="71" w:name="_Toc11911_WPSOffice_Level3"/>
      <w:bookmarkStart w:id="72" w:name="_Toc26684_WPSOffice_Level3"/>
      <w:r>
        <w:rPr>
          <w:rFonts w:hint="eastAsia" w:ascii="仿宋" w:hAnsi="仿宋" w:eastAsia="仿宋" w:cs="仿宋"/>
          <w:b/>
          <w:bCs/>
          <w:sz w:val="24"/>
          <w:szCs w:val="24"/>
        </w:rPr>
        <w:t>3.1合格</w:t>
      </w:r>
      <w:bookmarkEnd w:id="67"/>
      <w:bookmarkEnd w:id="68"/>
      <w:bookmarkEnd w:id="69"/>
      <w:bookmarkEnd w:id="70"/>
      <w:bookmarkEnd w:id="71"/>
      <w:bookmarkEnd w:id="72"/>
      <w:r>
        <w:rPr>
          <w:rFonts w:hint="eastAsia" w:ascii="仿宋" w:hAnsi="仿宋" w:eastAsia="仿宋" w:cs="仿宋"/>
          <w:b/>
          <w:bCs/>
          <w:sz w:val="24"/>
          <w:szCs w:val="24"/>
        </w:rPr>
        <w:t>响应供应商</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3.1.1在中华人民共和国境内设立的法人机构；</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3.1.2具有管理咨询服务资质的单位；</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3.1.3至响应文件递交截止时间，响应供应商必须未被“信用中国”网站（</w:t>
      </w:r>
      <w:r>
        <w:rPr>
          <w:rFonts w:ascii="Times New Roman" w:hAnsi="Times New Roman" w:eastAsia="仿宋" w:cs="Times New Roman"/>
          <w:sz w:val="24"/>
          <w:szCs w:val="24"/>
        </w:rPr>
        <w:t>www.creditchina.gov.cn</w:t>
      </w:r>
      <w:r>
        <w:rPr>
          <w:rFonts w:hint="eastAsia" w:ascii="仿宋" w:hAnsi="仿宋" w:eastAsia="仿宋" w:cs="仿宋"/>
          <w:sz w:val="24"/>
          <w:szCs w:val="24"/>
        </w:rPr>
        <w:t>）列入信用记录查询的失信被执行人；必须未被“中国执行信息公开网”（</w:t>
      </w:r>
      <w:r>
        <w:rPr>
          <w:rFonts w:ascii="Times New Roman" w:hAnsi="Times New Roman" w:eastAsia="仿宋" w:cs="Times New Roman"/>
          <w:sz w:val="24"/>
          <w:szCs w:val="24"/>
        </w:rPr>
        <w:t>http://zxgk.court.gov.cn/</w:t>
      </w:r>
      <w:r>
        <w:rPr>
          <w:rFonts w:hint="eastAsia" w:ascii="仿宋" w:hAnsi="仿宋" w:eastAsia="仿宋" w:cs="仿宋"/>
          <w:sz w:val="24"/>
          <w:szCs w:val="24"/>
        </w:rPr>
        <w:t>）列入综合查询的被执行人；必须未被国家安全监管总局（应急管理部）列入安全生产不良记录“黑名单”。</w:t>
      </w:r>
    </w:p>
    <w:p>
      <w:pPr>
        <w:spacing w:line="560" w:lineRule="exact"/>
        <w:ind w:firstLine="480"/>
        <w:rPr>
          <w:rFonts w:ascii="仿宋" w:hAnsi="仿宋" w:eastAsia="仿宋" w:cs="仿宋"/>
          <w:sz w:val="24"/>
          <w:szCs w:val="24"/>
        </w:rPr>
      </w:pPr>
      <w:r>
        <w:rPr>
          <w:rFonts w:hint="eastAsia" w:ascii="仿宋" w:hAnsi="仿宋" w:eastAsia="仿宋" w:cs="仿宋"/>
          <w:sz w:val="24"/>
          <w:szCs w:val="24"/>
        </w:rPr>
        <w:t>3.1.4其他要求</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（1）与采购人存在利害关系可能影响采购公正性的法人、其他组织或者个人，不得参加本采购项目的响应。</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（2）单位负责人为同一人或者存在控股、管理关系的不同单位，不得参加同一合同段响应。</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3.1.5本项目谢绝联合体形式响应。</w:t>
      </w:r>
    </w:p>
    <w:p>
      <w:pPr>
        <w:spacing w:line="500" w:lineRule="exact"/>
        <w:ind w:firstLine="482" w:firstLineChars="200"/>
        <w:jc w:val="left"/>
        <w:rPr>
          <w:rFonts w:ascii="仿宋" w:hAnsi="仿宋" w:eastAsia="仿宋"/>
          <w:b/>
          <w:color w:val="000000"/>
          <w:sz w:val="24"/>
          <w:szCs w:val="24"/>
        </w:rPr>
      </w:pPr>
      <w:bookmarkStart w:id="73" w:name="_Toc28955"/>
      <w:bookmarkStart w:id="74" w:name="_Toc18524_WPSOffice_Level3"/>
      <w:bookmarkStart w:id="75" w:name="_Toc10823_WPSOffice_Level3"/>
      <w:bookmarkStart w:id="76" w:name="_Toc30191_WPSOffice_Level3"/>
      <w:bookmarkStart w:id="77" w:name="_Toc3911_WPSOffice_Level3"/>
      <w:bookmarkStart w:id="78" w:name="_Toc17630_WPSOffice_Level3"/>
      <w:bookmarkStart w:id="79" w:name="_Toc3639_WPSOffice_Level3"/>
      <w:r>
        <w:rPr>
          <w:rFonts w:hint="eastAsia" w:ascii="仿宋" w:hAnsi="仿宋" w:eastAsia="仿宋"/>
          <w:b/>
          <w:color w:val="000000"/>
          <w:sz w:val="24"/>
          <w:szCs w:val="24"/>
        </w:rPr>
        <w:t>3.2响应供应商承担本项目能力和资格的有关资格证明材料</w:t>
      </w:r>
      <w:bookmarkEnd w:id="73"/>
      <w:bookmarkEnd w:id="74"/>
      <w:bookmarkEnd w:id="75"/>
      <w:bookmarkEnd w:id="76"/>
      <w:bookmarkEnd w:id="77"/>
      <w:bookmarkEnd w:id="78"/>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由市场监督管理局核发的响应供应商营业执照副本复印件（加盖公章）；</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响应供应商各类资质证书材料复印件（加盖公章）；</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响应供应商需具备足够资质的管理咨询顾问团队；</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“信用中国”“中国执行信息公开网”国家安全监管总局（应急管理部）查询记录（加盖公章）；</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响应供应商2021年财务报表（加盖公章）；</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实施交付能力：响应方必须具备项目落地执行和提供后续服务的能力；</w:t>
      </w:r>
    </w:p>
    <w:p>
      <w:pPr>
        <w:pStyle w:val="32"/>
        <w:widowControl w:val="0"/>
        <w:numPr>
          <w:ilvl w:val="0"/>
          <w:numId w:val="3"/>
        </w:numPr>
        <w:spacing w:line="560" w:lineRule="exact"/>
        <w:ind w:left="900" w:hanging="420" w:firstLineChars="0"/>
        <w:rPr>
          <w:rFonts w:ascii="仿宋" w:hAnsi="仿宋" w:eastAsia="仿宋"/>
          <w:color w:val="000000"/>
          <w:sz w:val="24"/>
          <w:szCs w:val="24"/>
        </w:rPr>
      </w:pPr>
      <w:r>
        <w:rPr>
          <w:rFonts w:hint="eastAsia" w:ascii="仿宋" w:hAnsi="仿宋" w:eastAsia="仿宋"/>
          <w:color w:val="000000"/>
          <w:sz w:val="24"/>
          <w:szCs w:val="24"/>
        </w:rPr>
        <w:t>响应供应商必须由法定代表人或其委托代理人（具有法定代表人签署的授权书）携带身份证原件参加响应、磋商仪式，在评标过程中随时接受评委就响应文件内容提出的质询，并予以解答。本项目不允许转包，响应方必须自己承建。</w:t>
      </w:r>
    </w:p>
    <w:p>
      <w:pPr>
        <w:spacing w:line="500" w:lineRule="exact"/>
        <w:ind w:firstLine="482" w:firstLineChars="200"/>
        <w:jc w:val="left"/>
        <w:rPr>
          <w:rFonts w:ascii="仿宋" w:hAnsi="仿宋" w:eastAsia="仿宋"/>
          <w:b/>
          <w:color w:val="000000"/>
          <w:sz w:val="24"/>
          <w:szCs w:val="24"/>
        </w:rPr>
      </w:pPr>
      <w:bookmarkStart w:id="80" w:name="_Toc4478_WPSOffice_Level3"/>
      <w:bookmarkStart w:id="81" w:name="_Toc9407_WPSOffice_Level3"/>
      <w:bookmarkStart w:id="82" w:name="_Toc27763_WPSOffice_Level3"/>
      <w:bookmarkStart w:id="83" w:name="_Toc8614_WPSOffice_Level3"/>
      <w:bookmarkStart w:id="84" w:name="_Toc9275_WPSOffice_Level3"/>
      <w:r>
        <w:rPr>
          <w:rFonts w:hint="eastAsia" w:ascii="仿宋" w:hAnsi="仿宋" w:eastAsia="仿宋"/>
          <w:b/>
          <w:color w:val="000000"/>
          <w:sz w:val="24"/>
          <w:szCs w:val="24"/>
        </w:rPr>
        <w:t>3.3响应费用</w:t>
      </w:r>
      <w:bookmarkEnd w:id="79"/>
      <w:bookmarkEnd w:id="80"/>
      <w:bookmarkEnd w:id="81"/>
      <w:bookmarkEnd w:id="82"/>
      <w:bookmarkEnd w:id="83"/>
      <w:bookmarkEnd w:id="84"/>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响应供应商应自行承担所有与准备和参加响应有关的全部费用，不论响应的结果如何，采购人在任何情况下均无义务和责任承担这些费用。</w:t>
      </w:r>
      <w:bookmarkStart w:id="85" w:name="_Toc3382"/>
    </w:p>
    <w:p>
      <w:pPr>
        <w:pStyle w:val="4"/>
        <w:numPr>
          <w:ilvl w:val="0"/>
          <w:numId w:val="0"/>
        </w:numPr>
        <w:spacing w:before="312" w:after="156" w:line="560" w:lineRule="exact"/>
        <w:ind w:left="576" w:hanging="576"/>
      </w:pPr>
      <w:bookmarkStart w:id="86" w:name="_Toc6022_WPSOffice_Level2"/>
      <w:bookmarkStart w:id="87" w:name="_Toc31626_WPSOffice_Level2"/>
      <w:bookmarkStart w:id="88" w:name="_Toc20514_WPSOffice_Level2"/>
      <w:bookmarkStart w:id="89" w:name="_Toc24947_WPSOffice_Level2"/>
      <w:bookmarkStart w:id="90" w:name="_Toc31473_WPSOffice_Level2"/>
      <w:r>
        <w:rPr>
          <w:rFonts w:hint="eastAsia"/>
        </w:rPr>
        <w:t>4.响应文件的构成</w:t>
      </w:r>
      <w:bookmarkEnd w:id="85"/>
      <w:bookmarkEnd w:id="86"/>
      <w:bookmarkEnd w:id="87"/>
      <w:bookmarkEnd w:id="88"/>
      <w:bookmarkEnd w:id="89"/>
      <w:bookmarkEnd w:id="90"/>
    </w:p>
    <w:p>
      <w:pPr>
        <w:widowControl w:val="0"/>
        <w:spacing w:line="560" w:lineRule="exact"/>
        <w:ind w:firstLine="420" w:firstLineChars="200"/>
        <w:rPr>
          <w:rFonts w:ascii="仿宋" w:hAnsi="仿宋" w:eastAsia="仿宋" w:cs="仿宋"/>
          <w:szCs w:val="24"/>
        </w:rPr>
      </w:pPr>
      <w:r>
        <w:rPr>
          <w:rFonts w:hint="eastAsia" w:ascii="仿宋" w:hAnsi="仿宋" w:eastAsia="仿宋" w:cs="仿宋"/>
          <w:szCs w:val="24"/>
        </w:rPr>
        <w:t>响应</w:t>
      </w:r>
      <w:bookmarkStart w:id="91" w:name="_Toc2864_WPSOffice_Level3"/>
      <w:bookmarkStart w:id="92" w:name="_Toc179_WPSOffice_Level3"/>
      <w:bookmarkStart w:id="93" w:name="_Toc31351"/>
      <w:r>
        <w:rPr>
          <w:rFonts w:hint="eastAsia" w:ascii="仿宋" w:hAnsi="仿宋" w:eastAsia="仿宋" w:cs="仿宋"/>
          <w:szCs w:val="24"/>
        </w:rPr>
        <w:t>文件应包括但不限于下列主要内容</w:t>
      </w:r>
      <w:bookmarkEnd w:id="91"/>
      <w:bookmarkEnd w:id="92"/>
      <w:bookmarkEnd w:id="93"/>
      <w:r>
        <w:rPr>
          <w:rFonts w:hint="eastAsia" w:ascii="仿宋" w:hAnsi="仿宋" w:eastAsia="仿宋" w:cs="仿宋"/>
          <w:szCs w:val="24"/>
        </w:rPr>
        <w:t>：</w:t>
      </w:r>
    </w:p>
    <w:p>
      <w:pPr>
        <w:pStyle w:val="32"/>
        <w:widowControl w:val="0"/>
        <w:numPr>
          <w:ilvl w:val="0"/>
          <w:numId w:val="4"/>
        </w:numPr>
        <w:spacing w:line="560" w:lineRule="exact"/>
        <w:ind w:left="900" w:hanging="420" w:firstLineChars="0"/>
        <w:rPr>
          <w:rFonts w:ascii="仿宋" w:hAnsi="仿宋" w:eastAsia="仿宋" w:cs="仿宋"/>
          <w:szCs w:val="24"/>
        </w:rPr>
      </w:pPr>
      <w:bookmarkStart w:id="94" w:name="_Toc12402_WPSOffice_Level3"/>
      <w:bookmarkStart w:id="95" w:name="_Toc19991_WPSOffice_Level3"/>
      <w:bookmarkStart w:id="96" w:name="_Toc6005_WPSOffice_Level3"/>
      <w:bookmarkStart w:id="97" w:name="_Toc6722_WPSOffice_Level3"/>
      <w:r>
        <w:rPr>
          <w:rFonts w:hint="eastAsia" w:ascii="仿宋" w:hAnsi="仿宋" w:eastAsia="仿宋" w:cs="仿宋"/>
          <w:szCs w:val="24"/>
        </w:rPr>
        <w:t>文件目录</w:t>
      </w:r>
      <w:bookmarkEnd w:id="94"/>
      <w:bookmarkEnd w:id="95"/>
      <w:bookmarkEnd w:id="96"/>
      <w:bookmarkEnd w:id="97"/>
    </w:p>
    <w:p>
      <w:pPr>
        <w:pStyle w:val="32"/>
        <w:widowControl w:val="0"/>
        <w:numPr>
          <w:ilvl w:val="0"/>
          <w:numId w:val="4"/>
        </w:numPr>
        <w:spacing w:line="560" w:lineRule="exact"/>
        <w:ind w:left="900" w:hanging="420" w:firstLineChars="0"/>
        <w:rPr>
          <w:rFonts w:ascii="仿宋" w:hAnsi="仿宋" w:eastAsia="仿宋" w:cs="仿宋"/>
          <w:szCs w:val="24"/>
        </w:rPr>
      </w:pPr>
      <w:bookmarkStart w:id="98" w:name="_Toc27106_WPSOffice_Level3"/>
      <w:bookmarkStart w:id="99" w:name="_Toc4565_WPSOffice_Level3"/>
      <w:bookmarkStart w:id="100" w:name="_Toc9459_WPSOffice_Level3"/>
      <w:bookmarkStart w:id="101" w:name="_Toc31001_WPSOffice_Level3"/>
      <w:r>
        <w:rPr>
          <w:rFonts w:hint="eastAsia" w:ascii="仿宋" w:hAnsi="仿宋" w:eastAsia="仿宋" w:cs="仿宋"/>
          <w:szCs w:val="24"/>
        </w:rPr>
        <w:t>响应一览表（见格式一）</w:t>
      </w:r>
      <w:bookmarkEnd w:id="98"/>
      <w:bookmarkEnd w:id="99"/>
      <w:bookmarkEnd w:id="100"/>
      <w:bookmarkEnd w:id="101"/>
    </w:p>
    <w:p>
      <w:pPr>
        <w:pStyle w:val="32"/>
        <w:widowControl w:val="0"/>
        <w:numPr>
          <w:ilvl w:val="0"/>
          <w:numId w:val="4"/>
        </w:numPr>
        <w:spacing w:line="560" w:lineRule="exact"/>
        <w:ind w:left="900" w:hanging="420" w:firstLineChars="0"/>
        <w:rPr>
          <w:rFonts w:ascii="仿宋" w:hAnsi="仿宋" w:eastAsia="仿宋" w:cs="仿宋"/>
          <w:szCs w:val="24"/>
        </w:rPr>
      </w:pPr>
      <w:bookmarkStart w:id="102" w:name="_Toc30484_WPSOffice_Level3"/>
      <w:bookmarkStart w:id="103" w:name="_Toc5165_WPSOffice_Level3"/>
      <w:bookmarkStart w:id="104" w:name="_Toc31002_WPSOffice_Level3"/>
      <w:bookmarkStart w:id="105" w:name="_Toc2723_WPSOffice_Level3"/>
      <w:r>
        <w:rPr>
          <w:rFonts w:hint="eastAsia" w:ascii="仿宋" w:hAnsi="仿宋" w:eastAsia="仿宋" w:cs="仿宋"/>
          <w:szCs w:val="24"/>
        </w:rPr>
        <w:t>法定代表人资格证明书（见格式二）</w:t>
      </w:r>
      <w:bookmarkEnd w:id="102"/>
      <w:bookmarkEnd w:id="103"/>
      <w:bookmarkEnd w:id="104"/>
      <w:bookmarkEnd w:id="105"/>
    </w:p>
    <w:p>
      <w:pPr>
        <w:pStyle w:val="32"/>
        <w:widowControl w:val="0"/>
        <w:numPr>
          <w:ilvl w:val="0"/>
          <w:numId w:val="4"/>
        </w:numPr>
        <w:spacing w:line="560" w:lineRule="exact"/>
        <w:ind w:left="900" w:hanging="420" w:firstLineChars="0"/>
        <w:rPr>
          <w:rFonts w:ascii="仿宋" w:hAnsi="仿宋" w:eastAsia="仿宋" w:cs="仿宋"/>
          <w:szCs w:val="24"/>
        </w:rPr>
      </w:pPr>
      <w:bookmarkStart w:id="106" w:name="_Toc6301_WPSOffice_Level3"/>
      <w:bookmarkStart w:id="107" w:name="_Toc12703_WPSOffice_Level3"/>
      <w:bookmarkStart w:id="108" w:name="_Toc31753_WPSOffice_Level3"/>
      <w:bookmarkStart w:id="109" w:name="_Toc23943_WPSOffice_Level3"/>
      <w:r>
        <w:rPr>
          <w:rFonts w:hint="eastAsia" w:ascii="仿宋" w:hAnsi="仿宋" w:eastAsia="仿宋" w:cs="仿宋"/>
          <w:szCs w:val="24"/>
        </w:rPr>
        <w:t>法定代表人授权委托书（见格式三）</w:t>
      </w:r>
      <w:bookmarkEnd w:id="106"/>
      <w:bookmarkEnd w:id="107"/>
      <w:bookmarkEnd w:id="108"/>
      <w:bookmarkEnd w:id="109"/>
    </w:p>
    <w:p>
      <w:pPr>
        <w:pStyle w:val="32"/>
        <w:widowControl w:val="0"/>
        <w:numPr>
          <w:ilvl w:val="0"/>
          <w:numId w:val="4"/>
        </w:numPr>
        <w:spacing w:line="560" w:lineRule="exact"/>
        <w:ind w:left="900" w:hanging="420" w:firstLineChars="0"/>
        <w:rPr>
          <w:rFonts w:ascii="仿宋" w:hAnsi="仿宋" w:eastAsia="仿宋" w:cs="仿宋"/>
          <w:szCs w:val="24"/>
        </w:rPr>
      </w:pPr>
      <w:bookmarkStart w:id="110" w:name="_Toc27637_WPSOffice_Level3"/>
      <w:bookmarkStart w:id="111" w:name="_Toc22562_WPSOffice_Level3"/>
      <w:bookmarkStart w:id="112" w:name="_Toc11643_WPSOffice_Level3"/>
      <w:bookmarkStart w:id="113" w:name="_Toc25910_WPSOffice_Level3"/>
      <w:r>
        <w:rPr>
          <w:rFonts w:hint="eastAsia" w:ascii="仿宋" w:hAnsi="仿宋" w:eastAsia="仿宋" w:cs="仿宋"/>
          <w:szCs w:val="24"/>
        </w:rPr>
        <w:t>响应单位的资质证明材料（见格式四）</w:t>
      </w:r>
      <w:bookmarkEnd w:id="110"/>
      <w:bookmarkEnd w:id="111"/>
      <w:bookmarkEnd w:id="112"/>
      <w:bookmarkEnd w:id="113"/>
    </w:p>
    <w:p>
      <w:pPr>
        <w:pStyle w:val="32"/>
        <w:widowControl w:val="0"/>
        <w:numPr>
          <w:ilvl w:val="0"/>
          <w:numId w:val="4"/>
        </w:numPr>
        <w:spacing w:line="560" w:lineRule="exact"/>
        <w:ind w:left="900" w:hanging="420" w:firstLineChars="0"/>
        <w:rPr>
          <w:rFonts w:ascii="仿宋" w:hAnsi="仿宋" w:eastAsia="仿宋" w:cs="仿宋"/>
          <w:szCs w:val="24"/>
        </w:rPr>
      </w:pPr>
      <w:bookmarkStart w:id="114" w:name="_Toc28799_WPSOffice_Level3"/>
      <w:bookmarkStart w:id="115" w:name="_Toc9570_WPSOffice_Level3"/>
      <w:bookmarkStart w:id="116" w:name="_Toc9022_WPSOffice_Level3"/>
      <w:bookmarkStart w:id="117" w:name="_Toc30652_WPSOffice_Level3"/>
      <w:r>
        <w:rPr>
          <w:rFonts w:hint="eastAsia" w:ascii="仿宋" w:hAnsi="仿宋" w:eastAsia="仿宋" w:cs="仿宋"/>
          <w:szCs w:val="24"/>
        </w:rPr>
        <w:t>廉洁诚信承诺书（见格式五）</w:t>
      </w:r>
      <w:bookmarkEnd w:id="114"/>
      <w:bookmarkEnd w:id="115"/>
      <w:bookmarkEnd w:id="116"/>
      <w:bookmarkEnd w:id="117"/>
    </w:p>
    <w:p>
      <w:pPr>
        <w:pStyle w:val="32"/>
        <w:widowControl w:val="0"/>
        <w:numPr>
          <w:ilvl w:val="0"/>
          <w:numId w:val="4"/>
        </w:numPr>
        <w:spacing w:line="560" w:lineRule="exact"/>
        <w:ind w:left="900" w:hanging="420" w:firstLineChars="0"/>
        <w:rPr>
          <w:rFonts w:ascii="仿宋" w:hAnsi="仿宋" w:eastAsia="仿宋" w:cs="仿宋"/>
          <w:szCs w:val="24"/>
        </w:rPr>
      </w:pPr>
      <w:bookmarkStart w:id="118" w:name="_Toc10092_WPSOffice_Level3"/>
      <w:bookmarkStart w:id="119" w:name="_Toc29093_WPSOffice_Level3"/>
      <w:bookmarkStart w:id="120" w:name="_Toc10782_WPSOffice_Level3"/>
      <w:bookmarkStart w:id="121" w:name="_Toc12449_WPSOffice_Level3"/>
      <w:r>
        <w:rPr>
          <w:rFonts w:hint="eastAsia" w:ascii="仿宋" w:hAnsi="仿宋" w:eastAsia="仿宋" w:cs="仿宋"/>
          <w:szCs w:val="24"/>
        </w:rPr>
        <w:t>售后服务承诺函（见格式六）</w:t>
      </w:r>
      <w:bookmarkEnd w:id="118"/>
      <w:bookmarkEnd w:id="119"/>
      <w:bookmarkEnd w:id="120"/>
      <w:bookmarkEnd w:id="121"/>
    </w:p>
    <w:p>
      <w:pPr>
        <w:widowControl w:val="0"/>
        <w:spacing w:line="560" w:lineRule="exact"/>
        <w:ind w:firstLine="420" w:firstLineChars="200"/>
        <w:rPr>
          <w:rFonts w:ascii="仿宋" w:hAnsi="仿宋" w:eastAsia="仿宋" w:cs="仿宋"/>
          <w:szCs w:val="24"/>
        </w:rPr>
      </w:pPr>
      <w:bookmarkStart w:id="122" w:name="_Toc16878_WPSOffice_Level3"/>
      <w:bookmarkStart w:id="123" w:name="_Toc11506_WPSOffice_Level3"/>
      <w:bookmarkStart w:id="124" w:name="_Toc10884_WPSOffice_Level3"/>
      <w:bookmarkStart w:id="125" w:name="_Toc7999_WPSOffice_Level3"/>
      <w:r>
        <w:rPr>
          <w:rFonts w:hint="eastAsia" w:ascii="仿宋" w:hAnsi="仿宋" w:eastAsia="仿宋" w:cs="仿宋"/>
          <w:szCs w:val="24"/>
        </w:rPr>
        <w:t>（8）项目解决方案（见格式七）</w:t>
      </w:r>
      <w:bookmarkEnd w:id="122"/>
      <w:bookmarkEnd w:id="123"/>
      <w:bookmarkEnd w:id="124"/>
      <w:bookmarkEnd w:id="125"/>
    </w:p>
    <w:p>
      <w:pPr>
        <w:pStyle w:val="32"/>
        <w:widowControl w:val="0"/>
        <w:numPr>
          <w:ilvl w:val="0"/>
          <w:numId w:val="5"/>
        </w:numPr>
        <w:spacing w:line="560" w:lineRule="exact"/>
        <w:ind w:firstLineChars="0"/>
        <w:rPr>
          <w:rFonts w:ascii="仿宋" w:hAnsi="仿宋" w:eastAsia="仿宋" w:cs="仿宋"/>
          <w:szCs w:val="24"/>
        </w:rPr>
      </w:pPr>
      <w:r>
        <w:rPr>
          <w:rFonts w:ascii="仿宋" w:hAnsi="仿宋" w:eastAsia="仿宋" w:cs="仿宋"/>
          <w:szCs w:val="24"/>
        </w:rPr>
        <w:t>机构概况（经营范围、</w:t>
      </w:r>
      <w:r>
        <w:rPr>
          <w:rFonts w:hint="eastAsia" w:ascii="仿宋" w:hAnsi="仿宋" w:eastAsia="仿宋" w:cs="仿宋"/>
          <w:szCs w:val="24"/>
        </w:rPr>
        <w:t>经营状况</w:t>
      </w:r>
      <w:r>
        <w:rPr>
          <w:rFonts w:ascii="仿宋" w:hAnsi="仿宋" w:eastAsia="仿宋" w:cs="仿宋"/>
          <w:szCs w:val="24"/>
        </w:rPr>
        <w:t>、</w:t>
      </w:r>
      <w:r>
        <w:rPr>
          <w:rFonts w:hint="eastAsia" w:ascii="仿宋" w:hAnsi="仿宋" w:eastAsia="仿宋" w:cs="仿宋"/>
          <w:szCs w:val="24"/>
        </w:rPr>
        <w:t>管理框架、</w:t>
      </w:r>
      <w:r>
        <w:rPr>
          <w:rFonts w:ascii="仿宋" w:hAnsi="仿宋" w:eastAsia="仿宋" w:cs="仿宋"/>
          <w:szCs w:val="24"/>
        </w:rPr>
        <w:t>成功实施的案例等）；</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响应供应商近5年（2017年8月至今）类似项目业绩，主要指合同金额不小于50万的国有企业管理咨询服务项目业绩，</w:t>
      </w:r>
      <w:r>
        <w:rPr>
          <w:rFonts w:ascii="仿宋" w:hAnsi="仿宋" w:eastAsia="仿宋" w:cs="仿宋"/>
          <w:szCs w:val="24"/>
        </w:rPr>
        <w:t>须</w:t>
      </w:r>
      <w:r>
        <w:rPr>
          <w:rFonts w:hint="eastAsia" w:ascii="仿宋" w:hAnsi="仿宋" w:eastAsia="仿宋" w:cs="仿宋"/>
          <w:szCs w:val="24"/>
        </w:rPr>
        <w:t>提供相关证明材料，如服务合同并附简要成果；</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供应商近5年（2017年8月至今）为：①上市公司（A股、美股、港股）；②国有独资公司；③世界500强、中国500强上榜企业（榜单标准：2020年以来，中国企业联合会发布的中国500强榜单，或财富世界500强榜单为准）提供职涯、薪酬及绩效体系规划建设的相关咨询服务案例，</w:t>
      </w:r>
      <w:r>
        <w:rPr>
          <w:rFonts w:ascii="仿宋" w:hAnsi="仿宋" w:eastAsia="仿宋" w:cs="仿宋"/>
          <w:szCs w:val="24"/>
        </w:rPr>
        <w:t>须</w:t>
      </w:r>
      <w:r>
        <w:rPr>
          <w:rFonts w:hint="eastAsia" w:ascii="仿宋" w:hAnsi="仿宋" w:eastAsia="仿宋" w:cs="仿宋"/>
          <w:szCs w:val="24"/>
        </w:rPr>
        <w:t>提供相关证明材料，如服务合同并附简要成果；</w:t>
      </w:r>
    </w:p>
    <w:p>
      <w:pPr>
        <w:pStyle w:val="32"/>
        <w:widowControl w:val="0"/>
        <w:numPr>
          <w:ilvl w:val="0"/>
          <w:numId w:val="5"/>
        </w:numPr>
        <w:spacing w:line="560" w:lineRule="exact"/>
        <w:ind w:firstLineChars="0"/>
        <w:rPr>
          <w:rFonts w:ascii="仿宋" w:hAnsi="仿宋" w:eastAsia="仿宋" w:cs="仿宋"/>
          <w:szCs w:val="24"/>
        </w:rPr>
      </w:pPr>
      <w:r>
        <w:rPr>
          <w:rFonts w:ascii="仿宋" w:hAnsi="仿宋" w:eastAsia="仿宋" w:cs="仿宋"/>
          <w:szCs w:val="24"/>
        </w:rPr>
        <w:t>拟对本项目的投入承诺（团队组织架构及参与人员资质、</w:t>
      </w:r>
      <w:r>
        <w:rPr>
          <w:rFonts w:hint="eastAsia" w:ascii="仿宋" w:hAnsi="仿宋" w:eastAsia="仿宋" w:cs="仿宋"/>
          <w:szCs w:val="24"/>
        </w:rPr>
        <w:t>承诺驻场工作的时间、</w:t>
      </w:r>
      <w:r>
        <w:rPr>
          <w:rFonts w:ascii="仿宋" w:hAnsi="仿宋" w:eastAsia="仿宋" w:cs="仿宋"/>
          <w:szCs w:val="24"/>
        </w:rPr>
        <w:t>承担本项目的主要优势等）；</w:t>
      </w:r>
    </w:p>
    <w:p>
      <w:pPr>
        <w:pStyle w:val="32"/>
        <w:widowControl w:val="0"/>
        <w:numPr>
          <w:ilvl w:val="0"/>
          <w:numId w:val="5"/>
        </w:numPr>
        <w:spacing w:line="560" w:lineRule="exact"/>
        <w:ind w:firstLineChars="0"/>
        <w:rPr>
          <w:rFonts w:ascii="仿宋" w:hAnsi="仿宋" w:eastAsia="仿宋" w:cs="仿宋"/>
          <w:szCs w:val="24"/>
        </w:rPr>
      </w:pPr>
      <w:r>
        <w:rPr>
          <w:rFonts w:ascii="仿宋" w:hAnsi="仿宋" w:eastAsia="仿宋" w:cs="仿宋"/>
          <w:szCs w:val="24"/>
        </w:rPr>
        <w:t>本项目实施计划及</w:t>
      </w:r>
      <w:r>
        <w:rPr>
          <w:rFonts w:hint="eastAsia" w:ascii="仿宋" w:hAnsi="仿宋" w:eastAsia="仿宋" w:cs="仿宋"/>
          <w:szCs w:val="24"/>
        </w:rPr>
        <w:t>服务要求</w:t>
      </w:r>
      <w:r>
        <w:rPr>
          <w:rFonts w:ascii="仿宋" w:hAnsi="仿宋" w:eastAsia="仿宋" w:cs="仿宋"/>
          <w:szCs w:val="24"/>
        </w:rPr>
        <w:t>（工作内容、方式方法、时间进度、</w:t>
      </w:r>
      <w:r>
        <w:rPr>
          <w:rFonts w:hint="eastAsia" w:ascii="仿宋" w:hAnsi="仿宋" w:eastAsia="仿宋" w:cs="仿宋"/>
          <w:szCs w:val="24"/>
        </w:rPr>
        <w:t>实施方案</w:t>
      </w:r>
      <w:r>
        <w:rPr>
          <w:rFonts w:ascii="仿宋" w:hAnsi="仿宋" w:eastAsia="仿宋" w:cs="仿宋"/>
          <w:szCs w:val="24"/>
        </w:rPr>
        <w:t>、</w:t>
      </w:r>
      <w:r>
        <w:rPr>
          <w:rFonts w:hint="eastAsia" w:ascii="仿宋" w:hAnsi="仿宋" w:eastAsia="仿宋" w:cs="仿宋"/>
          <w:szCs w:val="24"/>
        </w:rPr>
        <w:t>项目服务要求，</w:t>
      </w:r>
      <w:r>
        <w:rPr>
          <w:rFonts w:ascii="仿宋" w:hAnsi="仿宋" w:eastAsia="仿宋" w:cs="仿宋"/>
          <w:szCs w:val="24"/>
        </w:rPr>
        <w:t>阶段性工作内容及成果等）；</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项目负责人、项目经理近5年（2017年8月至今），为类似企业或世界500强企业提供薪酬绩效体系搭建、优化专项咨询服务的服务案例（需提供证明材料）。</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项目培训方案，响应供应商提供在项目实施过程中提供的主要培训内容、培训计划以及知识转移方案。</w:t>
      </w:r>
    </w:p>
    <w:p>
      <w:pPr>
        <w:pStyle w:val="32"/>
        <w:widowControl w:val="0"/>
        <w:spacing w:line="560" w:lineRule="exact"/>
        <w:ind w:left="480" w:firstLine="0" w:firstLineChars="0"/>
        <w:rPr>
          <w:rFonts w:ascii="仿宋" w:hAnsi="仿宋" w:eastAsia="仿宋" w:cs="仿宋"/>
          <w:szCs w:val="24"/>
        </w:rPr>
      </w:pPr>
      <w:bookmarkStart w:id="126" w:name="_Toc11549_WPSOffice_Level3"/>
      <w:bookmarkStart w:id="127" w:name="_Toc20466_WPSOffice_Level3"/>
      <w:bookmarkStart w:id="128" w:name="_Toc14815_WPSOffice_Level3"/>
      <w:r>
        <w:rPr>
          <w:rFonts w:hint="eastAsia" w:ascii="仿宋" w:hAnsi="仿宋" w:eastAsia="仿宋" w:cs="仿宋"/>
          <w:szCs w:val="24"/>
        </w:rPr>
        <w:t>（9）响应供应商认为其他需要提供的材料。</w:t>
      </w:r>
      <w:bookmarkEnd w:id="126"/>
      <w:bookmarkEnd w:id="127"/>
      <w:bookmarkEnd w:id="128"/>
    </w:p>
    <w:p>
      <w:pPr>
        <w:pStyle w:val="4"/>
        <w:numPr>
          <w:ilvl w:val="0"/>
          <w:numId w:val="0"/>
        </w:numPr>
        <w:spacing w:before="312" w:after="156" w:line="560" w:lineRule="exact"/>
        <w:ind w:left="576" w:hanging="576"/>
      </w:pPr>
      <w:bookmarkStart w:id="129" w:name="_Toc25614"/>
      <w:bookmarkStart w:id="130" w:name="_Toc335848566"/>
      <w:bookmarkStart w:id="131" w:name="_Toc11911_WPSOffice_Level2"/>
      <w:bookmarkStart w:id="132" w:name="_Toc23805_WPSOffice_Level2"/>
      <w:bookmarkStart w:id="133" w:name="_Toc2220_WPSOffice_Level2"/>
      <w:bookmarkStart w:id="134" w:name="_Toc26684_WPSOffice_Level2"/>
      <w:bookmarkStart w:id="135" w:name="_Toc16302_WPSOffice_Level2"/>
      <w:r>
        <w:rPr>
          <w:rFonts w:hint="eastAsia"/>
        </w:rPr>
        <w:t>5.响应文件书写及签名、盖章要求</w:t>
      </w:r>
      <w:bookmarkEnd w:id="129"/>
      <w:bookmarkEnd w:id="130"/>
      <w:bookmarkEnd w:id="131"/>
      <w:bookmarkEnd w:id="132"/>
      <w:bookmarkEnd w:id="133"/>
      <w:bookmarkEnd w:id="134"/>
      <w:bookmarkEnd w:id="135"/>
    </w:p>
    <w:p>
      <w:pPr>
        <w:pStyle w:val="32"/>
        <w:widowControl w:val="0"/>
        <w:numPr>
          <w:ilvl w:val="0"/>
          <w:numId w:val="6"/>
        </w:numPr>
        <w:spacing w:line="560" w:lineRule="exact"/>
        <w:ind w:left="900" w:hanging="420" w:firstLineChars="0"/>
        <w:rPr>
          <w:rFonts w:ascii="仿宋" w:hAnsi="仿宋" w:eastAsia="仿宋" w:cs="仿宋"/>
          <w:szCs w:val="24"/>
        </w:rPr>
      </w:pPr>
      <w:bookmarkStart w:id="136" w:name="_Toc184573098"/>
      <w:bookmarkStart w:id="137" w:name="_Toc184573429"/>
      <w:r>
        <w:rPr>
          <w:rFonts w:hint="eastAsia" w:ascii="仿宋" w:hAnsi="仿宋" w:eastAsia="仿宋" w:cs="仿宋"/>
          <w:szCs w:val="24"/>
        </w:rPr>
        <w:t>响应供应商应按采购文件的要求详细编制响应文件，保证响应文件的正确性和真实性，并对采购文件做出实质性响应，所有响应资料必须针对本次响应。</w:t>
      </w:r>
      <w:bookmarkEnd w:id="136"/>
      <w:bookmarkEnd w:id="137"/>
    </w:p>
    <w:p>
      <w:pPr>
        <w:pStyle w:val="32"/>
        <w:widowControl w:val="0"/>
        <w:numPr>
          <w:ilvl w:val="0"/>
          <w:numId w:val="6"/>
        </w:numPr>
        <w:spacing w:line="560" w:lineRule="exact"/>
        <w:ind w:left="900" w:hanging="420" w:firstLineChars="0"/>
        <w:rPr>
          <w:rFonts w:ascii="仿宋" w:hAnsi="仿宋" w:eastAsia="仿宋" w:cs="仿宋"/>
          <w:szCs w:val="24"/>
        </w:rPr>
      </w:pPr>
      <w:bookmarkStart w:id="138" w:name="_Toc184573430"/>
      <w:bookmarkStart w:id="139" w:name="_Toc184573099"/>
      <w:r>
        <w:rPr>
          <w:rFonts w:hint="eastAsia" w:ascii="仿宋" w:hAnsi="仿宋" w:eastAsia="仿宋" w:cs="仿宋"/>
          <w:szCs w:val="24"/>
        </w:rPr>
        <w:t>响应供应商被视为充分熟悉本采购项目的各种情况以及与履行合同有关的一切其他情况；不按采购文件要求提供的响应文件，可能被拒绝接受，其后果由响应供应商自己负责。</w:t>
      </w:r>
      <w:bookmarkEnd w:id="138"/>
      <w:bookmarkEnd w:id="139"/>
    </w:p>
    <w:p>
      <w:pPr>
        <w:pStyle w:val="32"/>
        <w:widowControl w:val="0"/>
        <w:numPr>
          <w:ilvl w:val="0"/>
          <w:numId w:val="6"/>
        </w:numPr>
        <w:spacing w:line="560" w:lineRule="exact"/>
        <w:ind w:left="900" w:hanging="420" w:firstLineChars="0"/>
        <w:rPr>
          <w:rFonts w:ascii="仿宋" w:hAnsi="仿宋" w:eastAsia="仿宋" w:cs="仿宋"/>
          <w:szCs w:val="24"/>
        </w:rPr>
      </w:pPr>
      <w:r>
        <w:rPr>
          <w:rFonts w:hint="eastAsia" w:ascii="仿宋" w:hAnsi="仿宋" w:eastAsia="仿宋" w:cs="仿宋"/>
          <w:szCs w:val="24"/>
        </w:rPr>
        <w:t>响应文件正本必须用不褪色的墨水工整书写或打印，否则其响应无效。</w:t>
      </w:r>
    </w:p>
    <w:p>
      <w:pPr>
        <w:pStyle w:val="32"/>
        <w:widowControl w:val="0"/>
        <w:numPr>
          <w:ilvl w:val="0"/>
          <w:numId w:val="6"/>
        </w:numPr>
        <w:spacing w:line="560" w:lineRule="exact"/>
        <w:ind w:left="900" w:hanging="420" w:firstLineChars="0"/>
        <w:rPr>
          <w:rFonts w:ascii="仿宋" w:hAnsi="仿宋" w:eastAsia="仿宋" w:cs="仿宋"/>
          <w:szCs w:val="24"/>
        </w:rPr>
      </w:pPr>
      <w:r>
        <w:rPr>
          <w:rFonts w:hint="eastAsia" w:ascii="仿宋" w:hAnsi="仿宋" w:eastAsia="仿宋" w:cs="仿宋"/>
          <w:szCs w:val="24"/>
        </w:rPr>
        <w:t>字迹潦草、表达不清或未按要求填写的响应文件可能被认定为无效的响应。</w:t>
      </w:r>
    </w:p>
    <w:p>
      <w:pPr>
        <w:pStyle w:val="32"/>
        <w:widowControl w:val="0"/>
        <w:numPr>
          <w:ilvl w:val="0"/>
          <w:numId w:val="6"/>
        </w:numPr>
        <w:spacing w:line="560" w:lineRule="exact"/>
        <w:ind w:left="900" w:hanging="420" w:firstLineChars="0"/>
        <w:rPr>
          <w:rFonts w:ascii="仿宋" w:hAnsi="仿宋" w:eastAsia="仿宋" w:cs="仿宋"/>
          <w:szCs w:val="24"/>
        </w:rPr>
      </w:pPr>
      <w:r>
        <w:rPr>
          <w:rFonts w:hint="eastAsia" w:ascii="仿宋" w:hAnsi="仿宋" w:eastAsia="仿宋" w:cs="仿宋"/>
          <w:szCs w:val="24"/>
        </w:rPr>
        <w:t>响应文件应由法定代表人或委托代理人在凡规定签章处逐一签名和盖单位公章，否则其响应无效。</w:t>
      </w:r>
    </w:p>
    <w:p>
      <w:pPr>
        <w:pStyle w:val="32"/>
        <w:widowControl w:val="0"/>
        <w:numPr>
          <w:ilvl w:val="0"/>
          <w:numId w:val="6"/>
        </w:numPr>
        <w:spacing w:line="560" w:lineRule="exact"/>
        <w:ind w:left="900" w:hanging="420" w:firstLineChars="0"/>
        <w:rPr>
          <w:rFonts w:ascii="仿宋" w:hAnsi="仿宋" w:eastAsia="仿宋" w:cs="仿宋"/>
          <w:szCs w:val="24"/>
        </w:rPr>
      </w:pPr>
      <w:r>
        <w:rPr>
          <w:rFonts w:hint="eastAsia" w:ascii="仿宋" w:hAnsi="仿宋" w:eastAsia="仿宋" w:cs="仿宋"/>
          <w:szCs w:val="24"/>
        </w:rPr>
        <w:t>响应文件的份数：纸质响应文件三份（正本一份，两份副本），电子技术标书一份。</w:t>
      </w:r>
      <w:bookmarkStart w:id="140" w:name="_Toc7696"/>
    </w:p>
    <w:p>
      <w:pPr>
        <w:pStyle w:val="4"/>
        <w:numPr>
          <w:ilvl w:val="0"/>
          <w:numId w:val="0"/>
        </w:numPr>
        <w:spacing w:before="312" w:after="156" w:line="560" w:lineRule="exact"/>
        <w:ind w:left="576" w:hanging="576"/>
      </w:pPr>
      <w:bookmarkStart w:id="141" w:name="_Toc6609_WPSOffice_Level2"/>
      <w:bookmarkStart w:id="142" w:name="_Toc18524_WPSOffice_Level2"/>
      <w:bookmarkStart w:id="143" w:name="_Toc862_WPSOffice_Level2"/>
      <w:bookmarkStart w:id="144" w:name="_Toc30191_WPSOffice_Level2"/>
      <w:bookmarkStart w:id="145" w:name="_Toc17630_WPSOffice_Level2"/>
      <w:r>
        <w:rPr>
          <w:rFonts w:hint="eastAsia"/>
        </w:rPr>
        <w:t>6.响应有效期</w:t>
      </w:r>
      <w:bookmarkEnd w:id="140"/>
      <w:bookmarkEnd w:id="141"/>
      <w:bookmarkEnd w:id="142"/>
      <w:bookmarkEnd w:id="143"/>
      <w:bookmarkEnd w:id="144"/>
      <w:bookmarkEnd w:id="145"/>
    </w:p>
    <w:p>
      <w:pPr>
        <w:pStyle w:val="32"/>
        <w:widowControl w:val="0"/>
        <w:numPr>
          <w:ilvl w:val="0"/>
          <w:numId w:val="7"/>
        </w:numPr>
        <w:spacing w:line="560" w:lineRule="exact"/>
        <w:ind w:left="900" w:hanging="420" w:firstLineChars="0"/>
        <w:rPr>
          <w:rFonts w:ascii="仿宋" w:hAnsi="仿宋" w:eastAsia="仿宋" w:cs="仿宋"/>
          <w:szCs w:val="24"/>
        </w:rPr>
      </w:pPr>
      <w:bookmarkStart w:id="146" w:name="_Toc184573450"/>
      <w:bookmarkStart w:id="147" w:name="_Toc184573119"/>
      <w:r>
        <w:rPr>
          <w:rFonts w:hint="eastAsia" w:ascii="仿宋" w:hAnsi="仿宋" w:eastAsia="仿宋" w:cs="仿宋"/>
          <w:szCs w:val="24"/>
        </w:rPr>
        <w:t>响应有效期为90天，响应有效期以采购文件规定的提交响应文件截止之日起计算。</w:t>
      </w:r>
      <w:bookmarkEnd w:id="146"/>
      <w:bookmarkEnd w:id="147"/>
    </w:p>
    <w:p>
      <w:pPr>
        <w:pStyle w:val="32"/>
        <w:widowControl w:val="0"/>
        <w:numPr>
          <w:ilvl w:val="0"/>
          <w:numId w:val="7"/>
        </w:numPr>
        <w:spacing w:line="560" w:lineRule="exact"/>
        <w:ind w:left="900" w:hanging="420" w:firstLineChars="0"/>
        <w:rPr>
          <w:rFonts w:ascii="仿宋" w:hAnsi="仿宋" w:eastAsia="仿宋" w:cs="仿宋"/>
          <w:szCs w:val="24"/>
        </w:rPr>
      </w:pPr>
      <w:bookmarkStart w:id="148" w:name="_Toc184573451"/>
      <w:bookmarkStart w:id="149" w:name="_Toc184573120"/>
      <w:r>
        <w:rPr>
          <w:rFonts w:hint="eastAsia" w:ascii="仿宋" w:hAnsi="仿宋" w:eastAsia="仿宋" w:cs="仿宋"/>
          <w:szCs w:val="24"/>
        </w:rPr>
        <w:t>在原响应有效期结束前，出现特殊情况的，采购人可以书面形式要求所有响应供应商延长响应有效期。</w:t>
      </w:r>
      <w:bookmarkEnd w:id="148"/>
      <w:bookmarkEnd w:id="149"/>
    </w:p>
    <w:p>
      <w:pPr>
        <w:pStyle w:val="4"/>
        <w:numPr>
          <w:ilvl w:val="0"/>
          <w:numId w:val="0"/>
        </w:numPr>
        <w:spacing w:before="312" w:after="156" w:line="560" w:lineRule="exact"/>
        <w:ind w:left="576" w:hanging="576"/>
      </w:pPr>
      <w:bookmarkStart w:id="150" w:name="_Toc9275_WPSOffice_Level2"/>
      <w:bookmarkStart w:id="151" w:name="_Toc8614_WPSOffice_Level2"/>
      <w:bookmarkStart w:id="152" w:name="_Toc3911_WPSOffice_Level2"/>
      <w:bookmarkStart w:id="153" w:name="_Toc10823_WPSOffice_Level2"/>
      <w:bookmarkStart w:id="154" w:name="_Toc12553"/>
      <w:bookmarkStart w:id="155" w:name="_Toc4478_WPSOffice_Level2"/>
      <w:r>
        <w:rPr>
          <w:rFonts w:hint="eastAsia"/>
        </w:rPr>
        <w:t>7.响应报价</w:t>
      </w:r>
      <w:bookmarkEnd w:id="150"/>
      <w:bookmarkEnd w:id="151"/>
      <w:bookmarkEnd w:id="152"/>
      <w:bookmarkEnd w:id="153"/>
      <w:bookmarkEnd w:id="154"/>
      <w:bookmarkEnd w:id="155"/>
    </w:p>
    <w:p>
      <w:pPr>
        <w:pStyle w:val="32"/>
        <w:widowControl w:val="0"/>
        <w:numPr>
          <w:ilvl w:val="0"/>
          <w:numId w:val="8"/>
        </w:numPr>
        <w:spacing w:line="560" w:lineRule="exact"/>
        <w:ind w:left="900" w:hanging="420" w:firstLineChars="0"/>
        <w:rPr>
          <w:rFonts w:ascii="仿宋" w:hAnsi="仿宋" w:eastAsia="仿宋" w:cs="仿宋"/>
          <w:szCs w:val="24"/>
        </w:rPr>
      </w:pPr>
      <w:bookmarkStart w:id="156" w:name="_Toc184573454"/>
      <w:bookmarkStart w:id="157" w:name="_Toc184573123"/>
      <w:r>
        <w:rPr>
          <w:rFonts w:hint="eastAsia" w:ascii="仿宋" w:hAnsi="仿宋" w:eastAsia="仿宋" w:cs="仿宋"/>
          <w:szCs w:val="24"/>
        </w:rPr>
        <w:t>响应供应商根据本项目的采购范围及要求进行报价。响应总报价应包括承诺为完成本次采购项目所有费用。响应供应商的响应报价应是固定价，而非浮动价。</w:t>
      </w:r>
      <w:bookmarkEnd w:id="156"/>
      <w:bookmarkEnd w:id="157"/>
      <w:bookmarkStart w:id="158" w:name="_Toc184573455"/>
      <w:bookmarkStart w:id="159" w:name="_Toc184573124"/>
      <w:bookmarkEnd w:id="158"/>
      <w:bookmarkEnd w:id="159"/>
    </w:p>
    <w:p>
      <w:pPr>
        <w:pStyle w:val="32"/>
        <w:widowControl w:val="0"/>
        <w:numPr>
          <w:ilvl w:val="0"/>
          <w:numId w:val="8"/>
        </w:numPr>
        <w:spacing w:line="560" w:lineRule="exact"/>
        <w:ind w:left="900" w:hanging="420" w:firstLineChars="0"/>
        <w:rPr>
          <w:rFonts w:ascii="仿宋" w:hAnsi="仿宋" w:eastAsia="仿宋" w:cs="仿宋"/>
          <w:szCs w:val="24"/>
        </w:rPr>
      </w:pPr>
      <w:bookmarkStart w:id="160" w:name="_Toc184573460"/>
      <w:bookmarkStart w:id="161" w:name="_Toc184573129"/>
      <w:r>
        <w:rPr>
          <w:rFonts w:hint="eastAsia" w:ascii="仿宋" w:hAnsi="仿宋" w:eastAsia="仿宋" w:cs="仿宋"/>
          <w:szCs w:val="24"/>
        </w:rPr>
        <w:t>所有报价均应已包含国家规定的所有税费。</w:t>
      </w:r>
      <w:bookmarkEnd w:id="160"/>
      <w:bookmarkEnd w:id="161"/>
    </w:p>
    <w:p>
      <w:pPr>
        <w:pStyle w:val="32"/>
        <w:widowControl w:val="0"/>
        <w:numPr>
          <w:ilvl w:val="0"/>
          <w:numId w:val="8"/>
        </w:numPr>
        <w:spacing w:line="560" w:lineRule="exact"/>
        <w:ind w:left="900" w:hanging="420" w:firstLineChars="0"/>
        <w:rPr>
          <w:rFonts w:ascii="仿宋" w:hAnsi="仿宋" w:eastAsia="仿宋" w:cs="仿宋"/>
          <w:szCs w:val="24"/>
        </w:rPr>
      </w:pPr>
      <w:bookmarkStart w:id="162" w:name="_Toc184573131"/>
      <w:bookmarkStart w:id="163" w:name="_Toc184573462"/>
      <w:r>
        <w:rPr>
          <w:rFonts w:hint="eastAsia" w:ascii="仿宋" w:hAnsi="仿宋" w:eastAsia="仿宋" w:cs="仿宋"/>
          <w:szCs w:val="24"/>
        </w:rPr>
        <w:t>响应供应商的响应报价应合理适中，不得以低于成本的报价进行恶性竞争，最低响应报价不是成交的必须条件。</w:t>
      </w:r>
      <w:bookmarkEnd w:id="162"/>
      <w:bookmarkEnd w:id="163"/>
    </w:p>
    <w:p>
      <w:pPr>
        <w:pStyle w:val="4"/>
        <w:numPr>
          <w:ilvl w:val="0"/>
          <w:numId w:val="0"/>
        </w:numPr>
        <w:spacing w:before="312" w:after="156" w:line="560" w:lineRule="exact"/>
        <w:ind w:left="576" w:hanging="576"/>
      </w:pPr>
      <w:bookmarkStart w:id="164" w:name="_Toc19991_WPSOffice_Level2"/>
      <w:bookmarkStart w:id="165" w:name="_Toc6005_WPSOffice_Level2"/>
      <w:bookmarkStart w:id="166" w:name="_Toc27763_WPSOffice_Level2"/>
      <w:bookmarkStart w:id="167" w:name="_Toc9407_WPSOffice_Level2"/>
      <w:bookmarkStart w:id="168" w:name="_Toc29648"/>
      <w:bookmarkStart w:id="169" w:name="_Toc12402_WPSOffice_Level2"/>
      <w:r>
        <w:rPr>
          <w:rFonts w:hint="eastAsia"/>
        </w:rPr>
        <w:t>8.响应文件的递交</w:t>
      </w:r>
      <w:bookmarkEnd w:id="164"/>
      <w:bookmarkEnd w:id="165"/>
      <w:bookmarkEnd w:id="166"/>
      <w:bookmarkEnd w:id="167"/>
      <w:bookmarkEnd w:id="168"/>
      <w:bookmarkEnd w:id="169"/>
    </w:p>
    <w:p>
      <w:pPr>
        <w:pStyle w:val="32"/>
        <w:widowControl w:val="0"/>
        <w:numPr>
          <w:ilvl w:val="0"/>
          <w:numId w:val="9"/>
        </w:numPr>
        <w:spacing w:line="560" w:lineRule="exact"/>
        <w:ind w:left="900" w:hanging="420" w:firstLineChars="0"/>
        <w:rPr>
          <w:rFonts w:ascii="仿宋" w:hAnsi="仿宋" w:eastAsia="仿宋" w:cs="仿宋"/>
          <w:szCs w:val="24"/>
        </w:rPr>
      </w:pPr>
      <w:bookmarkStart w:id="170" w:name="_Toc184573140"/>
      <w:bookmarkStart w:id="171" w:name="_Toc184573471"/>
      <w:r>
        <w:rPr>
          <w:rFonts w:hint="eastAsia" w:ascii="仿宋" w:hAnsi="仿宋" w:eastAsia="仿宋" w:cs="仿宋"/>
          <w:szCs w:val="24"/>
        </w:rPr>
        <w:t>响应书文件必须在规定的响应截止时间前由响应供应商法定代表人或委托代理人送达指定的响应地点，逾期送达的或未送达指定地点的响应文件，响应供应商将不予受理。</w:t>
      </w:r>
      <w:bookmarkEnd w:id="170"/>
      <w:bookmarkEnd w:id="171"/>
    </w:p>
    <w:p>
      <w:pPr>
        <w:pStyle w:val="32"/>
        <w:widowControl w:val="0"/>
        <w:numPr>
          <w:ilvl w:val="0"/>
          <w:numId w:val="9"/>
        </w:numPr>
        <w:spacing w:line="560" w:lineRule="exact"/>
        <w:ind w:left="900" w:hanging="420" w:firstLineChars="0"/>
        <w:rPr>
          <w:rFonts w:ascii="仿宋" w:hAnsi="仿宋" w:eastAsia="仿宋" w:cs="仿宋"/>
          <w:szCs w:val="24"/>
        </w:rPr>
      </w:pPr>
      <w:bookmarkStart w:id="172" w:name="_Toc184573472"/>
      <w:bookmarkStart w:id="173" w:name="_Toc184573141"/>
      <w:r>
        <w:rPr>
          <w:rFonts w:hint="eastAsia" w:ascii="仿宋" w:hAnsi="仿宋" w:eastAsia="仿宋" w:cs="仿宋"/>
          <w:szCs w:val="24"/>
        </w:rPr>
        <w:t>在采购人以书面补充或修改文件的形式推迟响应截止时间的情况下，采购人和响应供应商的权利和义务都以新的截止时间为准。</w:t>
      </w:r>
      <w:bookmarkEnd w:id="172"/>
      <w:bookmarkEnd w:id="173"/>
    </w:p>
    <w:p>
      <w:pPr>
        <w:pStyle w:val="32"/>
        <w:widowControl w:val="0"/>
        <w:numPr>
          <w:ilvl w:val="0"/>
          <w:numId w:val="9"/>
        </w:numPr>
        <w:spacing w:line="560" w:lineRule="exact"/>
        <w:ind w:left="900" w:hanging="420" w:firstLineChars="0"/>
        <w:rPr>
          <w:rFonts w:ascii="仿宋" w:hAnsi="仿宋" w:eastAsia="仿宋" w:cs="仿宋"/>
          <w:szCs w:val="24"/>
        </w:rPr>
      </w:pPr>
      <w:r>
        <w:rPr>
          <w:rFonts w:hint="eastAsia" w:ascii="仿宋" w:hAnsi="仿宋" w:eastAsia="仿宋" w:cs="仿宋"/>
          <w:szCs w:val="24"/>
        </w:rPr>
        <w:t>响应文件的密封与标记</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响应供应商应将响应文件装订好，在每个文本封面上标明“响应文件正本（副本）”，以及项目名称、响应方名称等内容。</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响应供应商应将响应文件（一正两副以及U盘）一并装入响应文件袋中加以密封；并在封口处密封签章（公章）。</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 xml:space="preserve">响应文件袋上应写明： </w:t>
      </w:r>
    </w:p>
    <w:p>
      <w:pPr>
        <w:pStyle w:val="32"/>
        <w:spacing w:line="560" w:lineRule="exact"/>
        <w:ind w:left="1271" w:firstLine="0" w:firstLineChars="0"/>
        <w:rPr>
          <w:rFonts w:ascii="仿宋" w:hAnsi="仿宋" w:eastAsia="仿宋" w:cs="仿宋"/>
          <w:szCs w:val="24"/>
        </w:rPr>
      </w:pPr>
      <w:r>
        <w:rPr>
          <w:rFonts w:hint="eastAsia" w:ascii="仿宋" w:hAnsi="仿宋" w:eastAsia="仿宋" w:cs="仿宋"/>
          <w:szCs w:val="24"/>
        </w:rPr>
        <w:t>采购人：厦门思明国有控股集团有限公司</w:t>
      </w:r>
    </w:p>
    <w:p>
      <w:pPr>
        <w:pStyle w:val="32"/>
        <w:spacing w:line="560" w:lineRule="exact"/>
        <w:ind w:left="1271" w:firstLine="0" w:firstLineChars="0"/>
        <w:rPr>
          <w:rFonts w:ascii="仿宋" w:hAnsi="仿宋" w:eastAsia="仿宋" w:cs="仿宋"/>
          <w:szCs w:val="24"/>
        </w:rPr>
      </w:pPr>
      <w:r>
        <w:rPr>
          <w:rFonts w:hint="eastAsia" w:ascii="仿宋" w:hAnsi="仿宋" w:eastAsia="仿宋" w:cs="仿宋"/>
          <w:szCs w:val="24"/>
        </w:rPr>
        <w:t>项目名称：思明控股集团员工职涯体系、薪酬体系、绩效与激励办法咨询项目</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注明：“文件递交截止时间才能启封”</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响应文件的密封以响应文件袋无明显缝隙露出袋内文件且封口处有签字或盖章为合格。</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响应方在递交响应文件时，未按本须知要求密封、标记的，采购人有权拒收，拒收所产生的后果由响应方自负。</w:t>
      </w:r>
    </w:p>
    <w:p>
      <w:pPr>
        <w:pStyle w:val="32"/>
        <w:widowControl w:val="0"/>
        <w:spacing w:line="560" w:lineRule="exact"/>
        <w:rPr>
          <w:rFonts w:ascii="仿宋" w:hAnsi="仿宋" w:eastAsia="仿宋" w:cs="仿宋"/>
          <w:szCs w:val="24"/>
        </w:rPr>
      </w:pPr>
      <w:r>
        <w:rPr>
          <w:rFonts w:hint="eastAsia" w:ascii="仿宋" w:hAnsi="仿宋" w:eastAsia="仿宋" w:cs="仿宋"/>
          <w:szCs w:val="24"/>
        </w:rPr>
        <w:t>（4）响应截止时间</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响应文件的递交不得迟于本须知前附表规定的截止时间，即2022年9月8日9时30分。</w:t>
      </w:r>
    </w:p>
    <w:p>
      <w:pPr>
        <w:pStyle w:val="32"/>
        <w:widowControl w:val="0"/>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响应方必须在规定时间内将响应文件送到本须知前附表规定地点，即2022年9月8日9时30分，厦门市思明区台东路68号18层1801单元，超过响应截止时间送达的响应文件为无效文件，采购人将拒收。</w:t>
      </w:r>
    </w:p>
    <w:p>
      <w:pPr>
        <w:pStyle w:val="4"/>
        <w:numPr>
          <w:ilvl w:val="0"/>
          <w:numId w:val="0"/>
        </w:numPr>
        <w:spacing w:before="312" w:after="156" w:line="560" w:lineRule="exact"/>
        <w:ind w:left="576" w:hanging="576"/>
      </w:pPr>
      <w:bookmarkStart w:id="174" w:name="_Toc4565_WPSOffice_Level2"/>
      <w:bookmarkStart w:id="175" w:name="_Toc2864_WPSOffice_Level2"/>
      <w:bookmarkStart w:id="176" w:name="_Toc9459_WPSOffice_Level2"/>
      <w:bookmarkStart w:id="177" w:name="_Toc27746_WPSOffice_Level2"/>
      <w:bookmarkStart w:id="178" w:name="_Toc179_WPSOffice_Level2"/>
      <w:bookmarkStart w:id="179" w:name="_Toc27106_WPSOffice_Level2"/>
      <w:r>
        <w:rPr>
          <w:rFonts w:hint="eastAsia"/>
        </w:rPr>
        <w:t>9.磋商</w:t>
      </w:r>
      <w:bookmarkEnd w:id="174"/>
      <w:bookmarkEnd w:id="175"/>
      <w:bookmarkEnd w:id="176"/>
      <w:bookmarkEnd w:id="177"/>
      <w:bookmarkEnd w:id="178"/>
      <w:bookmarkEnd w:id="179"/>
    </w:p>
    <w:p>
      <w:pPr>
        <w:spacing w:line="500" w:lineRule="exact"/>
        <w:ind w:firstLine="482" w:firstLineChars="200"/>
        <w:jc w:val="left"/>
        <w:rPr>
          <w:rFonts w:ascii="仿宋" w:hAnsi="仿宋" w:eastAsia="仿宋"/>
          <w:b/>
          <w:color w:val="000000"/>
          <w:sz w:val="24"/>
          <w:szCs w:val="24"/>
        </w:rPr>
      </w:pPr>
      <w:bookmarkStart w:id="180" w:name="_Toc1638_WPSOffice_Level3"/>
      <w:bookmarkStart w:id="181" w:name="_Toc14404_WPSOffice_Level3"/>
      <w:bookmarkStart w:id="182" w:name="_Toc13626_WPSOffice_Level3"/>
      <w:bookmarkStart w:id="183" w:name="_Toc3091_WPSOffice_Level3"/>
      <w:bookmarkStart w:id="184" w:name="_Toc25879_WPSOffice_Level3"/>
      <w:bookmarkStart w:id="185" w:name="_Toc22066_WPSOffice_Level3"/>
      <w:r>
        <w:rPr>
          <w:rFonts w:hint="eastAsia" w:ascii="仿宋" w:hAnsi="仿宋" w:eastAsia="仿宋"/>
          <w:b/>
          <w:color w:val="000000"/>
          <w:sz w:val="24"/>
          <w:szCs w:val="24"/>
        </w:rPr>
        <w:t>9.1</w:t>
      </w:r>
      <w:bookmarkEnd w:id="180"/>
      <w:bookmarkEnd w:id="181"/>
      <w:bookmarkEnd w:id="182"/>
      <w:bookmarkEnd w:id="183"/>
      <w:bookmarkEnd w:id="184"/>
      <w:bookmarkEnd w:id="185"/>
      <w:r>
        <w:rPr>
          <w:rFonts w:hint="eastAsia" w:ascii="仿宋" w:hAnsi="仿宋" w:eastAsia="仿宋"/>
          <w:b/>
          <w:color w:val="000000"/>
          <w:sz w:val="24"/>
          <w:szCs w:val="24"/>
        </w:rPr>
        <w:t>磋商时间</w:t>
      </w:r>
    </w:p>
    <w:p>
      <w:pPr>
        <w:pStyle w:val="32"/>
        <w:spacing w:line="560" w:lineRule="exact"/>
        <w:rPr>
          <w:rFonts w:ascii="仿宋" w:hAnsi="仿宋" w:eastAsia="仿宋" w:cs="仿宋"/>
          <w:szCs w:val="24"/>
        </w:rPr>
      </w:pPr>
      <w:r>
        <w:rPr>
          <w:rFonts w:hint="eastAsia" w:ascii="仿宋" w:hAnsi="仿宋" w:eastAsia="仿宋" w:cs="仿宋"/>
          <w:szCs w:val="24"/>
        </w:rPr>
        <w:t>（1）磋商开始时间:  2022年9月8日9时30分。</w:t>
      </w:r>
    </w:p>
    <w:p>
      <w:pPr>
        <w:pStyle w:val="32"/>
        <w:widowControl w:val="0"/>
        <w:spacing w:line="560" w:lineRule="exact"/>
        <w:ind w:firstLine="630" w:firstLineChars="300"/>
        <w:rPr>
          <w:rFonts w:ascii="仿宋" w:hAnsi="仿宋" w:eastAsia="仿宋" w:cs="仿宋"/>
          <w:szCs w:val="24"/>
        </w:rPr>
      </w:pPr>
      <w:r>
        <w:rPr>
          <w:rFonts w:hint="eastAsia" w:ascii="仿宋" w:hAnsi="仿宋" w:eastAsia="仿宋" w:cs="仿宋"/>
          <w:szCs w:val="24"/>
        </w:rPr>
        <w:t>采购人保留推迟响应截止日期和磋商开始日期的权利，并向每一个可能的响应供应商发出任何有关推迟上述时间的书面通知。</w:t>
      </w:r>
    </w:p>
    <w:p>
      <w:pPr>
        <w:pStyle w:val="32"/>
        <w:widowControl w:val="0"/>
        <w:spacing w:line="560" w:lineRule="exact"/>
        <w:ind w:firstLine="630" w:firstLineChars="300"/>
        <w:rPr>
          <w:rFonts w:ascii="仿宋" w:hAnsi="仿宋" w:eastAsia="仿宋" w:cs="仿宋"/>
          <w:szCs w:val="24"/>
        </w:rPr>
      </w:pPr>
      <w:r>
        <w:rPr>
          <w:rFonts w:hint="eastAsia" w:ascii="仿宋" w:hAnsi="仿宋" w:eastAsia="仿宋" w:cs="仿宋"/>
          <w:szCs w:val="24"/>
        </w:rPr>
        <w:t>磋商时邀请所有响应供应商代表参加，授权代表出示本人身份有效证件并签名报到。</w:t>
      </w:r>
    </w:p>
    <w:p>
      <w:pPr>
        <w:pStyle w:val="32"/>
        <w:widowControl w:val="0"/>
        <w:numPr>
          <w:ilvl w:val="0"/>
          <w:numId w:val="10"/>
        </w:numPr>
        <w:spacing w:line="560" w:lineRule="exact"/>
        <w:ind w:firstLine="630" w:firstLineChars="300"/>
        <w:rPr>
          <w:rFonts w:ascii="仿宋" w:hAnsi="仿宋" w:eastAsia="仿宋" w:cs="仿宋"/>
          <w:szCs w:val="24"/>
        </w:rPr>
      </w:pPr>
      <w:r>
        <w:rPr>
          <w:rFonts w:hint="eastAsia" w:ascii="仿宋" w:hAnsi="仿宋" w:eastAsia="仿宋" w:cs="仿宋"/>
          <w:szCs w:val="24"/>
        </w:rPr>
        <w:t>磋商地址：厦门市思明区台东路68号18层1801单元。</w:t>
      </w:r>
    </w:p>
    <w:p>
      <w:pPr>
        <w:pStyle w:val="32"/>
        <w:widowControl w:val="0"/>
        <w:numPr>
          <w:ilvl w:val="0"/>
          <w:numId w:val="10"/>
        </w:numPr>
        <w:spacing w:line="560" w:lineRule="exact"/>
        <w:ind w:firstLine="630" w:firstLineChars="300"/>
        <w:rPr>
          <w:rFonts w:ascii="仿宋" w:hAnsi="仿宋" w:eastAsia="仿宋" w:cs="仿宋"/>
          <w:szCs w:val="24"/>
        </w:rPr>
      </w:pPr>
      <w:r>
        <w:rPr>
          <w:rFonts w:hint="eastAsia" w:ascii="仿宋" w:hAnsi="仿宋" w:eastAsia="仿宋" w:cs="仿宋"/>
          <w:szCs w:val="24"/>
        </w:rPr>
        <w:t>采购人将组织磋商委员会审查“响应文件”是否完整；是否有计算错误；文件是否签署恰当。如果单价与总价有出入，以单价为准；若文字大写表示的数据与数字表示的有差别，则以文字大写表示的数据为准。若响应供应商拒绝接受上述修正，其响应将被拒绝。</w:t>
      </w:r>
    </w:p>
    <w:p>
      <w:pPr>
        <w:pStyle w:val="32"/>
        <w:widowControl w:val="0"/>
        <w:numPr>
          <w:ilvl w:val="0"/>
          <w:numId w:val="10"/>
        </w:numPr>
        <w:spacing w:line="560" w:lineRule="exact"/>
        <w:ind w:firstLine="630" w:firstLineChars="300"/>
        <w:rPr>
          <w:rFonts w:ascii="仿宋" w:hAnsi="仿宋" w:eastAsia="仿宋" w:cs="仿宋"/>
          <w:szCs w:val="24"/>
        </w:rPr>
      </w:pPr>
      <w:r>
        <w:rPr>
          <w:rFonts w:hint="eastAsia" w:ascii="仿宋" w:hAnsi="仿宋" w:eastAsia="仿宋" w:cs="仿宋"/>
          <w:szCs w:val="24"/>
        </w:rPr>
        <w:t>采购人不向响应供应商解释落选原因，不退还响应文件，不保证最低价成交。</w:t>
      </w:r>
    </w:p>
    <w:p>
      <w:pPr>
        <w:pStyle w:val="32"/>
        <w:widowControl w:val="0"/>
        <w:numPr>
          <w:ilvl w:val="0"/>
          <w:numId w:val="10"/>
        </w:numPr>
        <w:spacing w:line="560" w:lineRule="exact"/>
        <w:ind w:firstLine="630" w:firstLineChars="300"/>
        <w:rPr>
          <w:rFonts w:ascii="仿宋" w:hAnsi="仿宋" w:eastAsia="仿宋" w:cs="仿宋"/>
          <w:szCs w:val="24"/>
        </w:rPr>
      </w:pPr>
      <w:r>
        <w:rPr>
          <w:rFonts w:hint="eastAsia" w:ascii="仿宋" w:hAnsi="仿宋" w:eastAsia="仿宋" w:cs="仿宋"/>
          <w:szCs w:val="24"/>
        </w:rPr>
        <w:t>关于本项目的综合评判，拟由商务部分和技术部分组成，进行严格的评判工作。</w:t>
      </w:r>
    </w:p>
    <w:p>
      <w:pPr>
        <w:pStyle w:val="32"/>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评分标准如下：根据价格和服务条款进行评判（详见第三部分）。</w:t>
      </w:r>
    </w:p>
    <w:p>
      <w:pPr>
        <w:pStyle w:val="32"/>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总得分＝商务部分（20%）＋技术部分(80%)。</w:t>
      </w:r>
    </w:p>
    <w:p>
      <w:pPr>
        <w:pStyle w:val="32"/>
        <w:spacing w:line="560" w:lineRule="exact"/>
        <w:ind w:firstLine="630" w:firstLineChars="300"/>
        <w:rPr>
          <w:rFonts w:ascii="仿宋" w:hAnsi="仿宋" w:eastAsia="仿宋" w:cs="仿宋"/>
          <w:szCs w:val="24"/>
        </w:rPr>
      </w:pPr>
      <w:r>
        <w:rPr>
          <w:rFonts w:hint="eastAsia" w:ascii="仿宋" w:hAnsi="仿宋" w:eastAsia="仿宋" w:cs="仿宋"/>
          <w:szCs w:val="24"/>
        </w:rPr>
        <w:t>（6）无效的响应文件</w:t>
      </w:r>
    </w:p>
    <w:p>
      <w:pPr>
        <w:pStyle w:val="32"/>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响应文件如有下列情况之一,将会在评审中按照无效文件处理</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未按照采购文件规定要求密封、签署、盖章的；</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不具备采购文件中规定资格要求的；</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不符合法律、法规的；</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不符合采购文件中规定的实质性要求并且在响应规定的时间内无法说明和补充的。</w:t>
      </w:r>
    </w:p>
    <w:p>
      <w:pPr>
        <w:pStyle w:val="32"/>
        <w:spacing w:line="560" w:lineRule="exact"/>
        <w:ind w:left="420" w:leftChars="200" w:firstLine="0" w:firstLineChars="0"/>
        <w:rPr>
          <w:rFonts w:ascii="仿宋" w:hAnsi="仿宋" w:eastAsia="仿宋" w:cs="仿宋"/>
          <w:szCs w:val="24"/>
        </w:rPr>
      </w:pPr>
      <w:r>
        <w:rPr>
          <w:rFonts w:hint="eastAsia" w:ascii="仿宋" w:hAnsi="仿宋" w:eastAsia="仿宋" w:cs="仿宋"/>
          <w:szCs w:val="24"/>
        </w:rPr>
        <w:t>（7）响应活动终止</w:t>
      </w:r>
    </w:p>
    <w:p>
      <w:pPr>
        <w:pStyle w:val="32"/>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响应项目出现下列情形之一的，采购人将对已进行的响应活动予以终止</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出现影响公正的违法、违规行为的；</w:t>
      </w:r>
    </w:p>
    <w:p>
      <w:pPr>
        <w:pStyle w:val="32"/>
        <w:numPr>
          <w:ilvl w:val="1"/>
          <w:numId w:val="11"/>
        </w:numPr>
        <w:spacing w:line="560" w:lineRule="exact"/>
        <w:ind w:firstLineChars="0"/>
        <w:rPr>
          <w:rFonts w:ascii="仿宋" w:hAnsi="仿宋" w:eastAsia="仿宋" w:cs="仿宋"/>
          <w:szCs w:val="24"/>
        </w:rPr>
      </w:pPr>
      <w:r>
        <w:rPr>
          <w:rFonts w:hint="eastAsia" w:ascii="仿宋" w:hAnsi="仿宋" w:eastAsia="仿宋" w:cs="仿宋"/>
          <w:szCs w:val="24"/>
        </w:rPr>
        <w:t>因重大变故，项目任务取消的。</w:t>
      </w:r>
    </w:p>
    <w:p>
      <w:pPr>
        <w:pStyle w:val="32"/>
        <w:numPr>
          <w:ilvl w:val="0"/>
          <w:numId w:val="5"/>
        </w:numPr>
        <w:spacing w:line="560" w:lineRule="exact"/>
        <w:ind w:firstLineChars="0"/>
        <w:rPr>
          <w:rFonts w:ascii="仿宋" w:hAnsi="仿宋" w:eastAsia="仿宋" w:cs="仿宋"/>
          <w:szCs w:val="24"/>
        </w:rPr>
      </w:pPr>
      <w:r>
        <w:rPr>
          <w:rFonts w:hint="eastAsia" w:ascii="仿宋" w:hAnsi="仿宋" w:eastAsia="仿宋" w:cs="仿宋"/>
          <w:szCs w:val="24"/>
        </w:rPr>
        <w:t>响应活动终止后，采购人将把响应活动终止理由通知所有响应方。</w:t>
      </w:r>
    </w:p>
    <w:p>
      <w:pPr>
        <w:spacing w:line="500" w:lineRule="exact"/>
        <w:ind w:firstLine="482" w:firstLineChars="200"/>
        <w:jc w:val="left"/>
        <w:rPr>
          <w:rFonts w:ascii="仿宋" w:hAnsi="仿宋" w:eastAsia="仿宋"/>
          <w:b/>
          <w:color w:val="000000"/>
          <w:sz w:val="24"/>
          <w:szCs w:val="24"/>
        </w:rPr>
      </w:pPr>
      <w:bookmarkStart w:id="186" w:name="_Toc6486_WPSOffice_Level3"/>
      <w:bookmarkStart w:id="187" w:name="_Toc10106_WPSOffice_Level3"/>
      <w:bookmarkStart w:id="188" w:name="_Toc18295_WPSOffice_Level3"/>
      <w:bookmarkStart w:id="189" w:name="_Toc32711_WPSOffice_Level3"/>
      <w:bookmarkStart w:id="190" w:name="_Toc519_WPSOffice_Level3"/>
      <w:bookmarkStart w:id="191" w:name="_Toc10839_WPSOffice_Level3"/>
      <w:r>
        <w:rPr>
          <w:rFonts w:hint="eastAsia" w:ascii="仿宋" w:hAnsi="仿宋" w:eastAsia="仿宋"/>
          <w:b/>
          <w:color w:val="000000"/>
          <w:sz w:val="24"/>
          <w:szCs w:val="24"/>
        </w:rPr>
        <w:t>9.2</w:t>
      </w:r>
      <w:bookmarkEnd w:id="186"/>
      <w:bookmarkEnd w:id="187"/>
      <w:r>
        <w:rPr>
          <w:rFonts w:hint="eastAsia" w:ascii="仿宋" w:hAnsi="仿宋" w:eastAsia="仿宋"/>
          <w:b/>
          <w:color w:val="000000"/>
          <w:sz w:val="24"/>
          <w:szCs w:val="24"/>
        </w:rPr>
        <w:t>资格符合性审查</w:t>
      </w:r>
      <w:bookmarkEnd w:id="188"/>
      <w:bookmarkEnd w:id="189"/>
      <w:bookmarkEnd w:id="190"/>
      <w:bookmarkEnd w:id="191"/>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磋商开始后，由磋商委员会对响应供应商资格符合性审查：</w:t>
      </w:r>
    </w:p>
    <w:p>
      <w:pPr>
        <w:numPr>
          <w:ilvl w:val="0"/>
          <w:numId w:val="12"/>
        </w:numPr>
        <w:tabs>
          <w:tab w:val="left" w:pos="720"/>
          <w:tab w:val="left" w:pos="840"/>
        </w:tabs>
        <w:spacing w:line="560" w:lineRule="exact"/>
        <w:ind w:firstLine="480"/>
        <w:rPr>
          <w:rFonts w:ascii="仿宋" w:hAnsi="仿宋" w:eastAsia="仿宋" w:cs="仿宋"/>
          <w:szCs w:val="24"/>
        </w:rPr>
      </w:pPr>
      <w:r>
        <w:rPr>
          <w:rFonts w:hint="eastAsia" w:ascii="仿宋" w:hAnsi="仿宋" w:eastAsia="仿宋"/>
          <w:color w:val="000000"/>
          <w:sz w:val="24"/>
          <w:szCs w:val="24"/>
        </w:rPr>
        <w:t>非联合体响应供应商</w:t>
      </w:r>
    </w:p>
    <w:p>
      <w:pPr>
        <w:numPr>
          <w:ilvl w:val="0"/>
          <w:numId w:val="12"/>
        </w:numPr>
        <w:tabs>
          <w:tab w:val="left" w:pos="720"/>
          <w:tab w:val="left" w:pos="840"/>
        </w:tabs>
        <w:spacing w:line="560" w:lineRule="exact"/>
        <w:ind w:firstLine="480"/>
        <w:rPr>
          <w:rFonts w:ascii="仿宋" w:hAnsi="仿宋" w:eastAsia="仿宋" w:cs="仿宋"/>
          <w:szCs w:val="24"/>
        </w:rPr>
      </w:pPr>
      <w:r>
        <w:rPr>
          <w:rFonts w:hint="eastAsia" w:ascii="仿宋" w:hAnsi="仿宋" w:eastAsia="仿宋"/>
          <w:color w:val="000000"/>
          <w:sz w:val="24"/>
          <w:szCs w:val="24"/>
        </w:rPr>
        <w:t>营业执照（具有管理咨询资质）</w:t>
      </w:r>
    </w:p>
    <w:p>
      <w:pPr>
        <w:numPr>
          <w:ilvl w:val="0"/>
          <w:numId w:val="12"/>
        </w:numPr>
        <w:tabs>
          <w:tab w:val="left" w:pos="720"/>
          <w:tab w:val="left" w:pos="840"/>
        </w:tabs>
        <w:spacing w:line="560" w:lineRule="exact"/>
        <w:ind w:firstLine="480"/>
        <w:rPr>
          <w:rFonts w:ascii="仿宋" w:hAnsi="仿宋" w:eastAsia="仿宋"/>
          <w:color w:val="000000"/>
          <w:sz w:val="24"/>
          <w:szCs w:val="24"/>
        </w:rPr>
      </w:pPr>
      <w:r>
        <w:rPr>
          <w:rFonts w:hint="eastAsia" w:ascii="仿宋" w:hAnsi="仿宋" w:eastAsia="仿宋"/>
          <w:color w:val="000000"/>
          <w:sz w:val="24"/>
          <w:szCs w:val="24"/>
        </w:rPr>
        <w:t>良好的商业信用（“信用中国”“中国执行信息公开网”国家安全监管总局查询记录）</w:t>
      </w:r>
    </w:p>
    <w:p>
      <w:pPr>
        <w:numPr>
          <w:ilvl w:val="0"/>
          <w:numId w:val="12"/>
        </w:numPr>
        <w:tabs>
          <w:tab w:val="left" w:pos="720"/>
          <w:tab w:val="left" w:pos="840"/>
        </w:tabs>
        <w:spacing w:line="560" w:lineRule="exact"/>
        <w:ind w:firstLine="480"/>
        <w:rPr>
          <w:rFonts w:ascii="仿宋" w:hAnsi="仿宋" w:eastAsia="仿宋" w:cs="仿宋"/>
          <w:szCs w:val="24"/>
        </w:rPr>
      </w:pPr>
      <w:r>
        <w:rPr>
          <w:rFonts w:hint="eastAsia" w:ascii="仿宋" w:hAnsi="仿宋" w:eastAsia="仿宋"/>
          <w:color w:val="000000"/>
          <w:sz w:val="24"/>
          <w:szCs w:val="24"/>
        </w:rPr>
        <w:t>廉洁承诺书</w:t>
      </w:r>
    </w:p>
    <w:p>
      <w:pPr>
        <w:numPr>
          <w:ilvl w:val="0"/>
          <w:numId w:val="12"/>
        </w:numPr>
        <w:tabs>
          <w:tab w:val="left" w:pos="720"/>
          <w:tab w:val="left" w:pos="840"/>
        </w:tabs>
        <w:spacing w:line="560" w:lineRule="exact"/>
        <w:ind w:firstLine="480"/>
        <w:rPr>
          <w:rFonts w:ascii="仿宋" w:hAnsi="仿宋" w:eastAsia="仿宋" w:cs="仿宋"/>
          <w:szCs w:val="24"/>
        </w:rPr>
      </w:pPr>
      <w:r>
        <w:rPr>
          <w:rFonts w:hint="eastAsia" w:ascii="仿宋" w:hAnsi="仿宋" w:eastAsia="仿宋"/>
          <w:color w:val="000000"/>
          <w:sz w:val="24"/>
          <w:szCs w:val="24"/>
        </w:rPr>
        <w:t>售后服务承诺函</w:t>
      </w:r>
    </w:p>
    <w:p>
      <w:pPr>
        <w:spacing w:line="500" w:lineRule="exact"/>
        <w:ind w:firstLine="482" w:firstLineChars="200"/>
        <w:jc w:val="left"/>
        <w:rPr>
          <w:rFonts w:ascii="仿宋" w:hAnsi="仿宋" w:eastAsia="仿宋"/>
          <w:b/>
          <w:color w:val="000000"/>
          <w:sz w:val="24"/>
          <w:szCs w:val="24"/>
        </w:rPr>
      </w:pPr>
      <w:bookmarkStart w:id="192" w:name="_Toc577_WPSOffice_Level3"/>
      <w:bookmarkStart w:id="193" w:name="_Toc2692_WPSOffice_Level3"/>
      <w:bookmarkStart w:id="194" w:name="_Toc22755_WPSOffice_Level3"/>
      <w:bookmarkStart w:id="195" w:name="_Toc16910_WPSOffice_Level3"/>
      <w:bookmarkStart w:id="196" w:name="_Toc30722_WPSOffice_Level3"/>
      <w:bookmarkStart w:id="197" w:name="_Toc4125_WPSOffice_Level3"/>
      <w:r>
        <w:rPr>
          <w:rFonts w:hint="eastAsia" w:ascii="仿宋" w:hAnsi="仿宋" w:eastAsia="仿宋"/>
          <w:b/>
          <w:color w:val="000000"/>
          <w:sz w:val="24"/>
          <w:szCs w:val="24"/>
        </w:rPr>
        <w:t>9.3响应澄清</w:t>
      </w:r>
      <w:bookmarkEnd w:id="192"/>
      <w:bookmarkEnd w:id="193"/>
      <w:bookmarkEnd w:id="194"/>
      <w:bookmarkEnd w:id="195"/>
      <w:bookmarkEnd w:id="196"/>
      <w:bookmarkEnd w:id="197"/>
    </w:p>
    <w:p>
      <w:pPr>
        <w:spacing w:line="500" w:lineRule="exact"/>
        <w:ind w:firstLine="480" w:firstLineChars="200"/>
        <w:jc w:val="left"/>
        <w:rPr>
          <w:rFonts w:ascii="仿宋" w:hAnsi="仿宋" w:eastAsia="仿宋"/>
          <w:color w:val="000000"/>
          <w:sz w:val="24"/>
          <w:szCs w:val="24"/>
          <w:highlight w:val="yellow"/>
        </w:rPr>
      </w:pPr>
      <w:r>
        <w:rPr>
          <w:rFonts w:hint="eastAsia" w:ascii="仿宋" w:hAnsi="仿宋" w:eastAsia="仿宋"/>
          <w:color w:val="000000"/>
          <w:sz w:val="24"/>
          <w:szCs w:val="24"/>
        </w:rPr>
        <w:t xml:space="preserve">（1）响应供应商需于磋商日抵达响应地点对响应方案进行陈述说明，发言按递响应文件的时间为序（以采购人收到响应文件的时间为准），项目介绍人必须为项目成交后的项目经理，每一咨询机构方案说明限时30分钟（含陈述20分钟和解答10分钟）。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（2）所有响应材料必须符合《采购文件》的要求，不合格的响应材料评选会可以不予评议。 </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（3）采购人有权就响应文件中含糊之处向响应方提出询问或澄清要求。响应供应商必须按照采购方通知的时间、地点进行答疑和澄清。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（4）必要时，采购人可要求响应方就澄清的问题作书面回答，该书面回答应有响应方全权代表的签章，并作为响应内容的一部分。 </w:t>
      </w:r>
    </w:p>
    <w:p>
      <w:pPr>
        <w:spacing w:line="500" w:lineRule="exact"/>
        <w:ind w:firstLine="482" w:firstLineChars="200"/>
        <w:jc w:val="left"/>
        <w:rPr>
          <w:rFonts w:ascii="仿宋" w:hAnsi="仿宋" w:eastAsia="仿宋"/>
          <w:b/>
          <w:color w:val="000000"/>
          <w:sz w:val="24"/>
          <w:szCs w:val="24"/>
        </w:rPr>
      </w:pPr>
      <w:bookmarkStart w:id="198" w:name="_Toc4653_WPSOffice_Level3"/>
      <w:bookmarkStart w:id="199" w:name="_Toc13591_WPSOffice_Level3"/>
      <w:bookmarkStart w:id="200" w:name="_Toc24173_WPSOffice_Level3"/>
      <w:bookmarkStart w:id="201" w:name="_Toc32622_WPSOffice_Level3"/>
      <w:bookmarkStart w:id="202" w:name="_Toc7069_WPSOffice_Level3"/>
      <w:bookmarkStart w:id="203" w:name="_Toc4079_WPSOffice_Level3"/>
      <w:r>
        <w:rPr>
          <w:rFonts w:hint="eastAsia" w:ascii="仿宋" w:hAnsi="仿宋" w:eastAsia="仿宋"/>
          <w:b/>
          <w:color w:val="000000"/>
          <w:sz w:val="24"/>
          <w:szCs w:val="24"/>
        </w:rPr>
        <w:t>9.4 磋商程序</w:t>
      </w:r>
      <w:bookmarkEnd w:id="198"/>
      <w:bookmarkEnd w:id="199"/>
      <w:bookmarkEnd w:id="200"/>
      <w:bookmarkEnd w:id="201"/>
      <w:bookmarkEnd w:id="202"/>
      <w:bookmarkEnd w:id="203"/>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（1）评委首先按采购文件要求对各响应供应商的响应文件进行符合性评审，确认其响应文件是否实质上响应了采购文件的要求，对实质上响应采购文件的商务条件和技术条件要求的响应文件可进入评审。</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（2）评委如有疑问，将提出质询，响应供应商澄清有关问题。</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（3）根据响应文件审核结果及质询答疑情况，依据采购文件及有关规定对响应文件进行校核。</w:t>
      </w:r>
    </w:p>
    <w:p>
      <w:pPr>
        <w:spacing w:line="500" w:lineRule="exact"/>
        <w:ind w:firstLine="480" w:firstLineChars="200"/>
        <w:rPr>
          <w:rFonts w:ascii="仿宋" w:hAnsi="仿宋" w:eastAsia="仿宋"/>
          <w:b/>
          <w:color w:val="000000"/>
          <w:sz w:val="24"/>
          <w:szCs w:val="24"/>
        </w:rPr>
      </w:pPr>
      <w:r>
        <w:rPr>
          <w:rFonts w:hint="eastAsia" w:ascii="仿宋" w:hAnsi="仿宋" w:eastAsia="仿宋"/>
          <w:color w:val="000000"/>
          <w:sz w:val="24"/>
          <w:szCs w:val="24"/>
        </w:rPr>
        <w:t>（4）评选会评委依据《评分表》对各响应方案进行评分。</w:t>
      </w:r>
    </w:p>
    <w:p>
      <w:pPr>
        <w:spacing w:line="500" w:lineRule="exact"/>
        <w:ind w:firstLine="482" w:firstLineChars="200"/>
        <w:jc w:val="left"/>
        <w:rPr>
          <w:rFonts w:ascii="仿宋" w:hAnsi="仿宋" w:eastAsia="仿宋"/>
          <w:b/>
          <w:color w:val="000000"/>
          <w:sz w:val="24"/>
          <w:szCs w:val="24"/>
        </w:rPr>
      </w:pPr>
      <w:bookmarkStart w:id="204" w:name="_Toc32385_WPSOffice_Level3"/>
      <w:bookmarkStart w:id="205" w:name="_Toc26717_WPSOffice_Level3"/>
      <w:bookmarkStart w:id="206" w:name="_Toc17368_WPSOffice_Level3"/>
      <w:bookmarkStart w:id="207" w:name="_Toc7847_WPSOffice_Level3"/>
      <w:bookmarkStart w:id="208" w:name="_Toc15540_WPSOffice_Level3"/>
      <w:bookmarkStart w:id="209" w:name="_Toc26449_WPSOffice_Level3"/>
      <w:r>
        <w:rPr>
          <w:rFonts w:hint="eastAsia" w:ascii="仿宋" w:hAnsi="仿宋" w:eastAsia="仿宋"/>
          <w:b/>
          <w:color w:val="000000"/>
          <w:sz w:val="24"/>
          <w:szCs w:val="24"/>
        </w:rPr>
        <w:t>9.5磋商结果的公示</w:t>
      </w:r>
      <w:bookmarkEnd w:id="204"/>
      <w:bookmarkEnd w:id="205"/>
      <w:bookmarkEnd w:id="206"/>
      <w:bookmarkEnd w:id="207"/>
      <w:bookmarkEnd w:id="208"/>
      <w:bookmarkEnd w:id="209"/>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磋商结束后采购人将通过思明控股集团网站公示磋商结果，公示期为自发布之日起5个工作日，各响应供应商对评标结果如有异议，有权在规定时间内以书面形式向采购人进行投诉或提出质疑，但需对投诉或质疑内容的真实性承担责任。</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（2）公示期结束后，采购人可根据磋商委员会提交的书面评标报告和评标结果，最后确定成交人。</w:t>
      </w:r>
    </w:p>
    <w:p>
      <w:pPr>
        <w:spacing w:line="500" w:lineRule="exact"/>
        <w:ind w:firstLine="482" w:firstLineChars="200"/>
        <w:jc w:val="left"/>
        <w:rPr>
          <w:rFonts w:ascii="仿宋" w:hAnsi="仿宋" w:eastAsia="仿宋"/>
          <w:b/>
          <w:color w:val="000000"/>
          <w:sz w:val="24"/>
          <w:szCs w:val="24"/>
        </w:rPr>
      </w:pPr>
      <w:bookmarkStart w:id="210" w:name="_Toc7695_WPSOffice_Level3"/>
      <w:bookmarkStart w:id="211" w:name="_Toc8776_WPSOffice_Level3"/>
      <w:bookmarkStart w:id="212" w:name="_Toc1648_WPSOffice_Level3"/>
      <w:bookmarkStart w:id="213" w:name="_Toc14856_WPSOffice_Level3"/>
      <w:bookmarkStart w:id="214" w:name="_Toc23524_WPSOffice_Level3"/>
      <w:bookmarkStart w:id="215" w:name="_Toc17904_WPSOffice_Level3"/>
      <w:r>
        <w:rPr>
          <w:rFonts w:hint="eastAsia" w:ascii="仿宋" w:hAnsi="仿宋" w:eastAsia="仿宋"/>
          <w:b/>
          <w:color w:val="000000"/>
          <w:sz w:val="24"/>
          <w:szCs w:val="24"/>
        </w:rPr>
        <w:t>9.6成交通知书</w:t>
      </w:r>
      <w:bookmarkEnd w:id="210"/>
      <w:bookmarkEnd w:id="211"/>
      <w:bookmarkEnd w:id="212"/>
      <w:bookmarkEnd w:id="213"/>
      <w:bookmarkEnd w:id="214"/>
      <w:bookmarkEnd w:id="215"/>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（1）成交人确定后，采购人将向成交人发出成交通知书。</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（2）成交通知书是合同的一个组成部分。</w:t>
      </w:r>
    </w:p>
    <w:p>
      <w:pPr>
        <w:spacing w:line="500" w:lineRule="exact"/>
        <w:ind w:firstLine="482" w:firstLineChars="200"/>
        <w:jc w:val="left"/>
        <w:rPr>
          <w:rFonts w:ascii="仿宋" w:hAnsi="仿宋" w:eastAsia="仿宋"/>
          <w:b/>
          <w:color w:val="000000"/>
          <w:sz w:val="24"/>
          <w:szCs w:val="24"/>
        </w:rPr>
      </w:pPr>
      <w:bookmarkStart w:id="216" w:name="_Toc5050_WPSOffice_Level3"/>
      <w:bookmarkStart w:id="217" w:name="_Toc18608_WPSOffice_Level3"/>
      <w:bookmarkStart w:id="218" w:name="_Toc18835_WPSOffice_Level3"/>
      <w:bookmarkStart w:id="219" w:name="_Toc25755_WPSOffice_Level3"/>
      <w:bookmarkStart w:id="220" w:name="_Toc31828_WPSOffice_Level3"/>
      <w:bookmarkStart w:id="221" w:name="_Toc7127_WPSOffice_Level3"/>
      <w:r>
        <w:rPr>
          <w:rFonts w:hint="eastAsia" w:ascii="仿宋" w:hAnsi="仿宋" w:eastAsia="仿宋"/>
          <w:b/>
          <w:color w:val="000000"/>
          <w:sz w:val="24"/>
          <w:szCs w:val="24"/>
        </w:rPr>
        <w:t>9.7签订合同</w:t>
      </w:r>
      <w:bookmarkEnd w:id="216"/>
      <w:bookmarkEnd w:id="217"/>
      <w:bookmarkEnd w:id="218"/>
      <w:bookmarkEnd w:id="219"/>
      <w:bookmarkEnd w:id="220"/>
      <w:bookmarkEnd w:id="221"/>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（1）成交人应按成交通知书规定的时间、地点与采购人签订合同。</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（2）采购文件、成交人的响应文件、响应修改文件、评标过程中有关澄清文件及经双方签字的询标纪要和成交通知书均作为合同附件。</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在签订合同前，采购单位有权在成交总价不变的前提下要求成交单位对商务报价中的不平衡报价和缺漏项进行调整，如果成交单位无合理理由拒绝调整，其成交资格将被取消，且将导致其它进一步的赔偿和处罚。</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（4）拒签合同的违约责任</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成交人接到成交通知书后，在规定时间内借故否认已经承诺的条件而拒签合同者，以响应违约处理；给采购人造成损失的，由成交人负责；由此而需要重新组织采购的，所需费用由成交人承担。</w:t>
      </w:r>
    </w:p>
    <w:p>
      <w:pPr>
        <w:spacing w:line="500" w:lineRule="exact"/>
        <w:ind w:firstLine="482" w:firstLineChars="200"/>
        <w:jc w:val="left"/>
        <w:rPr>
          <w:rFonts w:ascii="仿宋" w:hAnsi="仿宋" w:eastAsia="仿宋"/>
          <w:b/>
          <w:color w:val="000000"/>
          <w:sz w:val="24"/>
          <w:szCs w:val="24"/>
        </w:rPr>
      </w:pPr>
      <w:bookmarkStart w:id="222" w:name="_Toc18158_WPSOffice_Level3"/>
      <w:bookmarkStart w:id="223" w:name="_Toc6081_WPSOffice_Level3"/>
      <w:bookmarkStart w:id="224" w:name="_Toc7354_WPSOffice_Level3"/>
      <w:bookmarkStart w:id="225" w:name="_Toc4044_WPSOffice_Level3"/>
      <w:bookmarkStart w:id="226" w:name="_Toc18829_WPSOffice_Level3"/>
      <w:bookmarkStart w:id="227" w:name="_Toc10138_WPSOffice_Level3"/>
      <w:r>
        <w:rPr>
          <w:rFonts w:hint="eastAsia" w:ascii="仿宋" w:hAnsi="仿宋" w:eastAsia="仿宋"/>
          <w:b/>
          <w:color w:val="000000"/>
          <w:sz w:val="24"/>
          <w:szCs w:val="24"/>
        </w:rPr>
        <w:t>9.8最终审查</w:t>
      </w:r>
      <w:bookmarkEnd w:id="222"/>
      <w:bookmarkEnd w:id="223"/>
      <w:bookmarkEnd w:id="224"/>
      <w:bookmarkEnd w:id="225"/>
      <w:bookmarkEnd w:id="226"/>
      <w:bookmarkEnd w:id="227"/>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（1）采购人在授标时有变更数量的权力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在向响应供应商授予成交通知书时，采购方有权变更数量和服务的内容。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（2）采购人有接受和拒绝任何或所有响应的权力 </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采购人在授予合同之前仍有选择或拒绝任何响应供应商成交的权力，并有权对所采取的行为不作解释。</w:t>
      </w:r>
    </w:p>
    <w:p>
      <w:pPr>
        <w:spacing w:line="500" w:lineRule="exact"/>
        <w:ind w:firstLine="480" w:firstLineChars="200"/>
        <w:rPr>
          <w:rFonts w:ascii="仿宋" w:hAnsi="仿宋" w:eastAsia="仿宋"/>
          <w:color w:val="000000"/>
          <w:sz w:val="24"/>
          <w:szCs w:val="24"/>
        </w:rPr>
      </w:pPr>
    </w:p>
    <w:p>
      <w:pPr>
        <w:pStyle w:val="4"/>
        <w:numPr>
          <w:ilvl w:val="0"/>
          <w:numId w:val="0"/>
        </w:numPr>
        <w:spacing w:before="312" w:after="156" w:line="560" w:lineRule="exact"/>
        <w:ind w:left="576" w:hanging="576"/>
      </w:pPr>
      <w:bookmarkStart w:id="228" w:name="_Toc30484_WPSOffice_Level2"/>
      <w:bookmarkStart w:id="229" w:name="_Toc31002_WPSOffice_Level2"/>
      <w:bookmarkStart w:id="230" w:name="_Toc3639_WPSOffice_Level2"/>
      <w:r>
        <w:rPr>
          <w:rFonts w:hint="eastAsia"/>
        </w:rPr>
        <w:t>10.其他响应说明或要求</w:t>
      </w:r>
      <w:bookmarkEnd w:id="228"/>
      <w:bookmarkEnd w:id="229"/>
      <w:bookmarkEnd w:id="230"/>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（1）响应文件及来往函件的文字应使用中文简体，计量单位应使用国内标准计量单位。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（2）响应文件中涉及金额的部分应以人民币单位计价，最终合计报价应折合为人民币含税价。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（3）响应供应商无权对本采购书的内容作任何改动。对于采购文件，除非响应供应商在响应文件中特别注明，否则响应供应商将被视作接受并同意本采购书的所有条款。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（4）本次思明控股员工职涯体系、薪酬体系、绩效与激励办法咨询项目采购严格按国家相关法律法规执行，严禁响应单位串标等干扰本次采购活动行为，严禁响应文件弄虚作假。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（5）为保证采购的公正性，在响应过程中，响应供应商不得以任何名义与采购项目方相关人员私下接触涉及招响应的相关信息。 </w:t>
      </w:r>
    </w:p>
    <w:p>
      <w:pPr>
        <w:spacing w:line="500" w:lineRule="exact"/>
        <w:ind w:firstLine="480" w:firstLineChars="200"/>
        <w:jc w:val="left"/>
        <w:rPr>
          <w:rFonts w:ascii="仿宋" w:hAnsi="仿宋" w:eastAsia="仿宋"/>
          <w:sz w:val="24"/>
          <w:szCs w:val="24"/>
        </w:rPr>
      </w:pPr>
      <w:r>
        <w:rPr>
          <w:rFonts w:hint="eastAsia" w:ascii="仿宋" w:hAnsi="仿宋" w:eastAsia="仿宋"/>
          <w:sz w:val="24"/>
          <w:szCs w:val="24"/>
        </w:rPr>
        <w:t>（6）本次</w:t>
      </w:r>
      <w:r>
        <w:rPr>
          <w:rFonts w:hint="eastAsia" w:ascii="仿宋" w:hAnsi="仿宋" w:eastAsia="仿宋"/>
          <w:color w:val="000000"/>
          <w:sz w:val="24"/>
          <w:szCs w:val="24"/>
        </w:rPr>
        <w:t>思明控股员工职涯体系、薪酬体系、绩效与激励办法咨询项目</w:t>
      </w:r>
      <w:r>
        <w:rPr>
          <w:rFonts w:hint="eastAsia" w:ascii="仿宋" w:hAnsi="仿宋" w:eastAsia="仿宋"/>
          <w:sz w:val="24"/>
          <w:szCs w:val="24"/>
        </w:rPr>
        <w:t xml:space="preserve">内容仅限于响应供应商单位内，严禁外传、公开以及其他用途。 </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（7）对响应供应商违反本采购邀请书条款要求的行为，采购人有终止其响应资格权利并依据其影响程度，保留对其法律诉讼权利。 </w:t>
      </w:r>
    </w:p>
    <w:p>
      <w:pPr>
        <w:spacing w:line="500" w:lineRule="exact"/>
        <w:ind w:firstLine="480" w:firstLineChars="200"/>
        <w:jc w:val="left"/>
        <w:rPr>
          <w:rFonts w:ascii="宋体" w:hAnsi="宋体"/>
          <w:b/>
          <w:bCs/>
          <w:color w:val="000000"/>
          <w:sz w:val="24"/>
          <w:szCs w:val="24"/>
        </w:rPr>
      </w:pPr>
      <w:r>
        <w:rPr>
          <w:rFonts w:hint="eastAsia" w:ascii="仿宋" w:hAnsi="仿宋" w:eastAsia="仿宋"/>
          <w:color w:val="000000"/>
          <w:sz w:val="24"/>
          <w:szCs w:val="24"/>
        </w:rPr>
        <w:t xml:space="preserve">（8）采购文件的解释权归厦门思明国有控股集团有限公司。 </w:t>
      </w:r>
    </w:p>
    <w:p>
      <w:pPr>
        <w:spacing w:line="500" w:lineRule="exact"/>
        <w:ind w:firstLine="482" w:firstLineChars="200"/>
        <w:rPr>
          <w:rFonts w:ascii="宋体" w:hAnsi="宋体"/>
          <w:b/>
          <w:bCs/>
          <w:color w:val="000000"/>
          <w:sz w:val="24"/>
          <w:szCs w:val="24"/>
        </w:rPr>
      </w:pPr>
    </w:p>
    <w:p>
      <w:pPr>
        <w:spacing w:line="500" w:lineRule="exact"/>
        <w:ind w:firstLine="482" w:firstLineChars="200"/>
        <w:rPr>
          <w:rFonts w:ascii="宋体" w:hAnsi="宋体"/>
          <w:b/>
          <w:bCs/>
          <w:color w:val="000000"/>
          <w:sz w:val="24"/>
          <w:szCs w:val="24"/>
        </w:rPr>
      </w:pPr>
    </w:p>
    <w:p>
      <w:pPr>
        <w:spacing w:line="500" w:lineRule="exact"/>
        <w:ind w:firstLine="482" w:firstLineChars="200"/>
        <w:rPr>
          <w:rFonts w:ascii="宋体" w:hAnsi="宋体"/>
          <w:b/>
          <w:bCs/>
          <w:color w:val="000000"/>
          <w:sz w:val="24"/>
          <w:szCs w:val="24"/>
        </w:rPr>
      </w:pPr>
    </w:p>
    <w:p>
      <w:pPr>
        <w:spacing w:line="500" w:lineRule="exact"/>
        <w:ind w:firstLine="482" w:firstLineChars="200"/>
        <w:rPr>
          <w:rFonts w:ascii="宋体" w:hAnsi="宋体"/>
          <w:b/>
          <w:bCs/>
          <w:color w:val="000000"/>
          <w:sz w:val="24"/>
          <w:szCs w:val="24"/>
        </w:rPr>
      </w:pPr>
    </w:p>
    <w:p>
      <w:pPr>
        <w:spacing w:line="500" w:lineRule="exact"/>
        <w:ind w:firstLine="482" w:firstLineChars="200"/>
        <w:rPr>
          <w:rFonts w:ascii="宋体" w:hAnsi="宋体"/>
          <w:b/>
          <w:bCs/>
          <w:color w:val="000000"/>
          <w:sz w:val="24"/>
          <w:szCs w:val="24"/>
        </w:rPr>
      </w:pPr>
    </w:p>
    <w:p>
      <w:pPr>
        <w:spacing w:line="500" w:lineRule="exact"/>
        <w:ind w:firstLine="482" w:firstLineChars="200"/>
        <w:rPr>
          <w:rFonts w:ascii="宋体" w:hAnsi="宋体"/>
          <w:b/>
          <w:bCs/>
          <w:color w:val="000000"/>
          <w:sz w:val="24"/>
          <w:szCs w:val="24"/>
        </w:rPr>
      </w:pPr>
    </w:p>
    <w:p>
      <w:pPr>
        <w:pStyle w:val="2"/>
        <w:rPr>
          <w:rFonts w:ascii="宋体" w:hAnsi="宋体"/>
          <w:b/>
          <w:bCs/>
          <w:color w:val="000000"/>
          <w:sz w:val="24"/>
          <w:szCs w:val="24"/>
        </w:rPr>
      </w:pPr>
    </w:p>
    <w:p>
      <w:pPr>
        <w:pStyle w:val="2"/>
        <w:rPr>
          <w:rFonts w:ascii="宋体" w:hAnsi="宋体"/>
          <w:b/>
          <w:bCs/>
          <w:color w:val="000000"/>
          <w:sz w:val="24"/>
          <w:szCs w:val="24"/>
        </w:rPr>
      </w:pPr>
    </w:p>
    <w:p>
      <w:pPr>
        <w:pStyle w:val="2"/>
        <w:rPr>
          <w:rFonts w:ascii="宋体" w:hAnsi="宋体"/>
          <w:b/>
          <w:bCs/>
          <w:color w:val="000000"/>
          <w:sz w:val="24"/>
          <w:szCs w:val="24"/>
        </w:rPr>
      </w:pPr>
    </w:p>
    <w:p>
      <w:pPr>
        <w:pStyle w:val="3"/>
        <w:keepNext w:val="0"/>
        <w:keepLines w:val="0"/>
        <w:widowControl w:val="0"/>
        <w:numPr>
          <w:ilvl w:val="0"/>
          <w:numId w:val="0"/>
        </w:numPr>
        <w:spacing w:beforeLines="50" w:afterLines="100" w:line="580" w:lineRule="exact"/>
        <w:rPr>
          <w:rFonts w:ascii="方正小标宋简体" w:hAnsi="方正小标宋简体" w:eastAsia="方正小标宋简体" w:cs="方正小标宋简体"/>
          <w:b w:val="0"/>
          <w:kern w:val="0"/>
        </w:rPr>
      </w:pPr>
      <w:bookmarkStart w:id="231" w:name="_Toc5096_WPSOffice_Level2"/>
      <w:bookmarkStart w:id="232" w:name="_Toc11266_WPSOffice_Level2"/>
      <w:bookmarkStart w:id="233" w:name="_Toc21334_WPSOffice_Level2"/>
    </w:p>
    <w:p>
      <w:pPr>
        <w:pStyle w:val="3"/>
        <w:keepNext w:val="0"/>
        <w:keepLines w:val="0"/>
        <w:widowControl w:val="0"/>
        <w:numPr>
          <w:ilvl w:val="0"/>
          <w:numId w:val="2"/>
        </w:numPr>
        <w:spacing w:beforeLines="50" w:afterLines="100" w:line="580" w:lineRule="exact"/>
        <w:jc w:val="center"/>
        <w:rPr>
          <w:rFonts w:ascii="方正小标宋简体" w:hAnsi="方正小标宋简体" w:eastAsia="方正小标宋简体" w:cs="方正小标宋简体"/>
          <w:b w:val="0"/>
          <w:kern w:val="0"/>
        </w:rPr>
      </w:pPr>
      <w:bookmarkStart w:id="234" w:name="_Toc6301_WPSOffice_Level2"/>
      <w:bookmarkStart w:id="235" w:name="_Toc23943_WPSOffice_Level2"/>
      <w:r>
        <w:rPr>
          <w:rFonts w:hint="eastAsia" w:ascii="方正小标宋简体" w:hAnsi="方正小标宋简体" w:eastAsia="方正小标宋简体" w:cs="方正小标宋简体"/>
          <w:b w:val="0"/>
          <w:kern w:val="0"/>
        </w:rPr>
        <w:t>二、项目概述与采购范围</w:t>
      </w:r>
      <w:bookmarkEnd w:id="231"/>
      <w:bookmarkEnd w:id="232"/>
      <w:bookmarkEnd w:id="233"/>
      <w:bookmarkEnd w:id="234"/>
      <w:bookmarkEnd w:id="235"/>
      <w:bookmarkEnd w:id="60"/>
    </w:p>
    <w:p>
      <w:pPr>
        <w:pStyle w:val="4"/>
        <w:numPr>
          <w:ilvl w:val="0"/>
          <w:numId w:val="0"/>
        </w:numPr>
        <w:spacing w:before="312" w:after="156" w:line="560" w:lineRule="exact"/>
        <w:ind w:left="576" w:hanging="576"/>
      </w:pPr>
      <w:bookmarkStart w:id="236" w:name="_Toc18406_WPSOffice_Level3"/>
      <w:bookmarkStart w:id="237" w:name="_Toc24099_WPSOffice_Level3"/>
      <w:bookmarkStart w:id="238" w:name="_Toc2075_WPSOffice_Level3"/>
      <w:bookmarkStart w:id="239" w:name="_Toc28416_WPSOffice_Level3"/>
      <w:bookmarkStart w:id="240" w:name="_Toc20932_WPSOffice_Level3"/>
      <w:bookmarkStart w:id="241" w:name="_Toc24929_WPSOffice_Level3"/>
      <w:r>
        <w:rPr>
          <w:rFonts w:hint="eastAsia"/>
        </w:rPr>
        <w:t>1.项目单位概述</w:t>
      </w:r>
      <w:bookmarkEnd w:id="236"/>
      <w:bookmarkEnd w:id="237"/>
      <w:bookmarkEnd w:id="238"/>
      <w:bookmarkEnd w:id="239"/>
      <w:bookmarkEnd w:id="240"/>
    </w:p>
    <w:p>
      <w:pPr>
        <w:spacing w:line="500" w:lineRule="exact"/>
        <w:ind w:firstLine="482" w:firstLineChars="200"/>
        <w:jc w:val="left"/>
        <w:rPr>
          <w:rFonts w:ascii="仿宋" w:hAnsi="仿宋" w:eastAsia="仿宋"/>
          <w:b/>
          <w:color w:val="000000"/>
          <w:sz w:val="24"/>
          <w:szCs w:val="24"/>
        </w:rPr>
      </w:pPr>
      <w:r>
        <w:rPr>
          <w:rFonts w:hint="eastAsia" w:ascii="仿宋" w:hAnsi="仿宋" w:eastAsia="仿宋"/>
          <w:b/>
          <w:color w:val="000000"/>
          <w:sz w:val="24"/>
          <w:szCs w:val="24"/>
        </w:rPr>
        <w:t>1.1项目单位介绍</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思明控股集团是由思明区人民政府出资，严格按照现代企业制度设立的以国有资产投资、经营和管理为主的国有独资公司。集团目前注册资本金26.62亿元。业务范围已拓展到涵盖地产开发、园区建设、城市更新、工程代建、资产经营、物业服务、供应链管理、石油金融、旅游投资、酒店管理、养老早教、征地拆迁、文创研学、餐饮服务、智慧科技、产业扶贫、对外投资及国有资产管理等领域。管理合计490万㎡以上的物业，92万㎡资产。</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集团当前拥有所属公司共51家，其中全资二级（集团）公司5家，下属三级全资公司27家，三级控股公司5家，三级参股公司1家。四级全资公司8家，四级控股公司1家，参股公司4家。集团当前员工总数2000余人，其中一线人员1000余人。</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未尽资料请参阅思明控股集团网站</w:t>
      </w:r>
      <w:r>
        <w:rPr>
          <w:rFonts w:ascii="仿宋" w:hAnsi="仿宋" w:eastAsia="仿宋"/>
          <w:color w:val="000000"/>
          <w:sz w:val="24"/>
          <w:szCs w:val="24"/>
        </w:rPr>
        <w:t>http://www.simingkonggu.com/</w:t>
      </w:r>
      <w:r>
        <w:rPr>
          <w:rFonts w:hint="eastAsia" w:ascii="仿宋" w:hAnsi="仿宋" w:eastAsia="仿宋"/>
          <w:color w:val="000000"/>
          <w:sz w:val="24"/>
          <w:szCs w:val="24"/>
        </w:rPr>
        <w:t xml:space="preserve">查阅。 </w:t>
      </w:r>
    </w:p>
    <w:p>
      <w:pPr>
        <w:spacing w:line="500" w:lineRule="exact"/>
        <w:ind w:firstLine="482" w:firstLineChars="200"/>
        <w:jc w:val="left"/>
        <w:rPr>
          <w:rFonts w:ascii="仿宋" w:hAnsi="仿宋" w:eastAsia="仿宋"/>
          <w:b/>
          <w:color w:val="000000"/>
          <w:sz w:val="24"/>
          <w:szCs w:val="24"/>
        </w:rPr>
      </w:pPr>
      <w:bookmarkStart w:id="242" w:name="_Toc27692_WPSOffice_Level2"/>
      <w:r>
        <w:rPr>
          <w:rFonts w:hint="eastAsia" w:ascii="仿宋" w:hAnsi="仿宋" w:eastAsia="仿宋"/>
          <w:b/>
          <w:color w:val="000000"/>
          <w:sz w:val="24"/>
          <w:szCs w:val="24"/>
        </w:rPr>
        <w:t>1.2.企业管理现状</w:t>
      </w:r>
      <w:bookmarkEnd w:id="242"/>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思明控股集团作为厦门思明区属国企，业务比较多元，但市场化程度和市场竞争力不够。当前人力资源管理仍处于传统人事管理阶段，尚未建立与现代企业相符的薪酬管理制度、员工职业生涯发展管理办法、员工绩效管理办法，薪酬激励性、灵活性较弱。思明控股集团总部掌握人力资源的主要数据（人工成本、人员定薪、人员总编制等进行管控），其余具体工作由下属各单位人力资源相关部门执行。 </w:t>
      </w:r>
    </w:p>
    <w:p>
      <w:pPr>
        <w:pStyle w:val="4"/>
        <w:numPr>
          <w:ilvl w:val="0"/>
          <w:numId w:val="0"/>
        </w:numPr>
        <w:spacing w:before="312" w:after="156" w:line="560" w:lineRule="exact"/>
        <w:ind w:left="576" w:hanging="576"/>
      </w:pPr>
      <w:bookmarkStart w:id="243" w:name="_Toc2817_WPSOffice_Level1"/>
      <w:bookmarkStart w:id="244" w:name="_Toc29224_WPSOffice_Level1"/>
      <w:bookmarkStart w:id="245" w:name="_Toc101_WPSOffice_Level1"/>
      <w:bookmarkStart w:id="246" w:name="_Toc22015_WPSOffice_Level1"/>
      <w:bookmarkStart w:id="247" w:name="_Toc20087_WPSOffice_Level1"/>
      <w:r>
        <w:rPr>
          <w:rFonts w:hint="eastAsia"/>
        </w:rPr>
        <w:t>2.项目范围</w:t>
      </w:r>
      <w:bookmarkEnd w:id="241"/>
      <w:bookmarkEnd w:id="243"/>
      <w:bookmarkEnd w:id="244"/>
      <w:bookmarkEnd w:id="245"/>
      <w:bookmarkEnd w:id="246"/>
      <w:bookmarkEnd w:id="247"/>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 xml:space="preserve">根据国企改革有关精神，结合思明控股集团功能定位和未来发展需要，通过调查诊断，建立集团本部及下属各子公司的员工职业生涯体系、薪酬体系、绩效和激励办法，同时协助宣贯、落地执行。 </w:t>
      </w:r>
    </w:p>
    <w:p>
      <w:pPr>
        <w:spacing w:line="500" w:lineRule="exact"/>
        <w:ind w:firstLine="482" w:firstLineChars="200"/>
        <w:jc w:val="left"/>
        <w:rPr>
          <w:rFonts w:ascii="仿宋" w:hAnsi="仿宋" w:eastAsia="仿宋"/>
          <w:b/>
          <w:color w:val="000000"/>
          <w:sz w:val="24"/>
          <w:szCs w:val="24"/>
        </w:rPr>
      </w:pPr>
      <w:bookmarkStart w:id="248" w:name="_Toc13390_WPSOffice_Level1"/>
      <w:bookmarkStart w:id="249" w:name="_Toc31963_WPSOffice_Level1"/>
      <w:bookmarkStart w:id="250" w:name="_Toc7245_WPSOffice_Level1"/>
      <w:bookmarkStart w:id="251" w:name="_Toc25555_WPSOffice_Level1"/>
      <w:bookmarkStart w:id="252" w:name="_Toc19282_WPSOffice_Level1"/>
      <w:bookmarkStart w:id="253" w:name="_Toc5828_WPSOffice_Level3"/>
      <w:r>
        <w:rPr>
          <w:rFonts w:hint="eastAsia" w:ascii="仿宋" w:hAnsi="仿宋" w:eastAsia="仿宋"/>
          <w:b/>
          <w:color w:val="000000"/>
          <w:sz w:val="24"/>
          <w:szCs w:val="24"/>
        </w:rPr>
        <w:t>2.1服务内容（包括但不限于）</w:t>
      </w:r>
      <w:bookmarkEnd w:id="248"/>
      <w:bookmarkEnd w:id="249"/>
      <w:bookmarkEnd w:id="250"/>
      <w:bookmarkEnd w:id="251"/>
      <w:bookmarkEnd w:id="252"/>
    </w:p>
    <w:p>
      <w:pPr>
        <w:spacing w:line="500" w:lineRule="exact"/>
        <w:ind w:firstLine="482" w:firstLineChars="200"/>
        <w:jc w:val="left"/>
        <w:rPr>
          <w:rFonts w:ascii="仿宋" w:hAnsi="仿宋" w:eastAsia="仿宋"/>
          <w:b/>
          <w:color w:val="000000"/>
          <w:sz w:val="24"/>
          <w:szCs w:val="24"/>
        </w:rPr>
      </w:pPr>
      <w:bookmarkStart w:id="254" w:name="_Toc27637_WPSOffice_Level2"/>
      <w:bookmarkStart w:id="255" w:name="_Toc13626_WPSOffice_Level2"/>
      <w:bookmarkStart w:id="256" w:name="_Toc5165_WPSOffice_Level2"/>
      <w:bookmarkStart w:id="257" w:name="_Toc22562_WPSOffice_Level2"/>
      <w:bookmarkStart w:id="258" w:name="_Toc3091_WPSOffice_Level2"/>
      <w:r>
        <w:rPr>
          <w:rFonts w:hint="eastAsia" w:ascii="仿宋" w:hAnsi="仿宋" w:eastAsia="仿宋"/>
          <w:b/>
          <w:color w:val="000000"/>
          <w:sz w:val="24"/>
          <w:szCs w:val="24"/>
        </w:rPr>
        <w:t>2.1.1 人力资源现状分析</w:t>
      </w:r>
      <w:bookmarkEnd w:id="254"/>
      <w:bookmarkEnd w:id="255"/>
      <w:bookmarkEnd w:id="256"/>
      <w:bookmarkEnd w:id="257"/>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对思明控股集团现有人力资源情况进行盘点和分析，发现当前人力资源管理中存在的问题，编制人力资源分析报告，为项目实施提供参考依据。</w:t>
      </w:r>
    </w:p>
    <w:p>
      <w:pPr>
        <w:spacing w:line="500" w:lineRule="exact"/>
        <w:ind w:firstLine="482" w:firstLineChars="200"/>
        <w:jc w:val="left"/>
        <w:rPr>
          <w:rFonts w:ascii="仿宋" w:hAnsi="仿宋" w:eastAsia="仿宋"/>
          <w:b/>
          <w:color w:val="000000"/>
          <w:sz w:val="24"/>
          <w:szCs w:val="24"/>
        </w:rPr>
      </w:pPr>
      <w:bookmarkStart w:id="259" w:name="_Toc12703_WPSOffice_Level2"/>
      <w:bookmarkStart w:id="260" w:name="_Toc30652_WPSOffice_Level2"/>
      <w:bookmarkStart w:id="261" w:name="_Toc9570_WPSOffice_Level2"/>
      <w:bookmarkStart w:id="262" w:name="_Toc10839_WPSOffice_Level2"/>
      <w:r>
        <w:rPr>
          <w:rFonts w:hint="eastAsia" w:ascii="仿宋" w:hAnsi="仿宋" w:eastAsia="仿宋"/>
          <w:b/>
          <w:color w:val="000000"/>
          <w:sz w:val="24"/>
          <w:szCs w:val="24"/>
        </w:rPr>
        <w:t>2.1.2绩效考核和激励体系建设</w:t>
      </w:r>
      <w:bookmarkEnd w:id="258"/>
      <w:bookmarkEnd w:id="259"/>
      <w:bookmarkEnd w:id="260"/>
      <w:bookmarkEnd w:id="261"/>
      <w:bookmarkEnd w:id="262"/>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对标行业先进、立足实际，基于思明控股集团发展规划，提供工资总额分配管理建议，对子分公司实现有效赋能，编制思明控股集团绩效考核和激励体系实施方案，构建指标管理体系，建立各层级关键考核指标库；</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（2）实现完整的绩效考核全过程管理，包括但不限于绩效评价、审核、监控、反馈和绩效改进、结果运用等环节，编制绩效考核管理办法；</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（3）编制绩效考核操作指导手册，对考核实施过程进行宣贯和辅导，编制绩效考核实施细则。</w:t>
      </w:r>
    </w:p>
    <w:p>
      <w:pPr>
        <w:spacing w:line="500" w:lineRule="exact"/>
        <w:ind w:firstLine="482" w:firstLineChars="200"/>
        <w:jc w:val="left"/>
        <w:rPr>
          <w:rFonts w:ascii="仿宋" w:hAnsi="仿宋" w:eastAsia="仿宋"/>
          <w:b/>
          <w:color w:val="000000"/>
          <w:sz w:val="24"/>
          <w:szCs w:val="24"/>
        </w:rPr>
      </w:pPr>
      <w:bookmarkStart w:id="263" w:name="_Toc16910_WPSOffice_Level2"/>
      <w:bookmarkStart w:id="264" w:name="_Toc11643_WPSOffice_Level2"/>
      <w:bookmarkStart w:id="265" w:name="_Toc10106_WPSOffice_Level2"/>
      <w:bookmarkStart w:id="266" w:name="_Toc12449_WPSOffice_Level2"/>
      <w:bookmarkStart w:id="267" w:name="_Toc29093_WPSOffice_Level2"/>
      <w:r>
        <w:rPr>
          <w:rFonts w:hint="eastAsia" w:ascii="仿宋" w:hAnsi="仿宋" w:eastAsia="仿宋"/>
          <w:b/>
          <w:color w:val="000000"/>
          <w:sz w:val="24"/>
          <w:szCs w:val="24"/>
        </w:rPr>
        <w:t>2.1.3职业生涯体系建设</w:t>
      </w:r>
      <w:bookmarkEnd w:id="263"/>
      <w:bookmarkEnd w:id="264"/>
      <w:bookmarkEnd w:id="265"/>
      <w:bookmarkEnd w:id="266"/>
      <w:bookmarkEnd w:id="267"/>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（1）搭建员工职涯体系，形成不同序列职级和职位表，下属企业与总部企业职级对照表，建立员工合理的职业晋升通道；</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（2）职级晋升规则（任职资格主要指标、评分规则等）</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（3）编制员工职业生涯发展管理制度，对员工职级管理进行宣贯和辅导。</w:t>
      </w:r>
    </w:p>
    <w:p>
      <w:pPr>
        <w:spacing w:line="500" w:lineRule="exact"/>
        <w:ind w:firstLine="482" w:firstLineChars="200"/>
        <w:jc w:val="left"/>
        <w:rPr>
          <w:rFonts w:ascii="仿宋" w:hAnsi="仿宋" w:eastAsia="仿宋"/>
          <w:b/>
          <w:color w:val="000000"/>
          <w:sz w:val="24"/>
          <w:szCs w:val="24"/>
        </w:rPr>
      </w:pPr>
      <w:bookmarkStart w:id="268" w:name="_Toc28799_WPSOffice_Level2"/>
      <w:bookmarkStart w:id="269" w:name="_Toc32622_WPSOffice_Level2"/>
      <w:bookmarkStart w:id="270" w:name="_Toc11506_WPSOffice_Level2"/>
      <w:bookmarkStart w:id="271" w:name="_Toc22755_WPSOffice_Level2"/>
      <w:bookmarkStart w:id="272" w:name="_Toc10884_WPSOffice_Level2"/>
      <w:r>
        <w:rPr>
          <w:rFonts w:hint="eastAsia" w:ascii="仿宋" w:hAnsi="仿宋" w:eastAsia="仿宋"/>
          <w:b/>
          <w:color w:val="000000"/>
          <w:sz w:val="24"/>
          <w:szCs w:val="24"/>
        </w:rPr>
        <w:t>2.1.4薪酬体系优化设计</w:t>
      </w:r>
      <w:bookmarkEnd w:id="268"/>
      <w:bookmarkEnd w:id="269"/>
      <w:bookmarkEnd w:id="270"/>
      <w:bookmarkEnd w:id="271"/>
      <w:bookmarkEnd w:id="272"/>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（1）根据思明控股集团战略发展，对标市场，重新梳理优化薪酬架构，确定薪酬标准，形成差异化的薪酬分类管理和对标；</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（2）辅导配合对全体员工薪资套改；</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（3）编制薪酬管理制度和操作指导手册，对薪酬实施过程进行宣贯和培训。</w:t>
      </w:r>
    </w:p>
    <w:p>
      <w:pPr>
        <w:spacing w:line="500" w:lineRule="exact"/>
        <w:ind w:firstLine="482" w:firstLineChars="200"/>
        <w:jc w:val="left"/>
        <w:rPr>
          <w:rFonts w:ascii="仿宋" w:hAnsi="仿宋" w:eastAsia="仿宋"/>
          <w:b/>
          <w:color w:val="000000"/>
          <w:sz w:val="24"/>
          <w:szCs w:val="24"/>
        </w:rPr>
      </w:pPr>
      <w:bookmarkStart w:id="273" w:name="_Toc18873_WPSOffice_Level1"/>
      <w:bookmarkStart w:id="274" w:name="_Toc20563_WPSOffice_Level1"/>
      <w:bookmarkStart w:id="275" w:name="_Toc3840_WPSOffice_Level1"/>
      <w:bookmarkStart w:id="276" w:name="_Toc17218_WPSOffice_Level1"/>
      <w:bookmarkStart w:id="277" w:name="_Toc20514_WPSOffice_Level1"/>
      <w:bookmarkStart w:id="278" w:name="_Toc22698_WPSOffice_Level3"/>
      <w:r>
        <w:rPr>
          <w:rFonts w:hint="eastAsia" w:ascii="仿宋" w:hAnsi="仿宋" w:eastAsia="仿宋"/>
          <w:b/>
          <w:color w:val="000000"/>
          <w:sz w:val="24"/>
          <w:szCs w:val="24"/>
        </w:rPr>
        <w:t>2.2</w:t>
      </w:r>
      <w:bookmarkEnd w:id="273"/>
      <w:bookmarkEnd w:id="274"/>
      <w:bookmarkEnd w:id="275"/>
      <w:bookmarkEnd w:id="276"/>
      <w:bookmarkEnd w:id="277"/>
      <w:r>
        <w:rPr>
          <w:rFonts w:hint="eastAsia" w:ascii="仿宋" w:hAnsi="仿宋" w:eastAsia="仿宋"/>
          <w:b/>
          <w:color w:val="000000"/>
          <w:sz w:val="24"/>
          <w:szCs w:val="24"/>
        </w:rPr>
        <w:t>付款方式</w:t>
      </w:r>
      <w:bookmarkEnd w:id="253"/>
      <w:bookmarkEnd w:id="278"/>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合同签订后的10日内支付40％，绩效考核与激励成果评审通过交付后10日内支付20%，职涯管理成果评审通过交付后10日内支付25%，薪酬管理成果评审通过交付后10日内支付10%，所有成果评审通过交付后半年内支付5%。</w:t>
      </w:r>
    </w:p>
    <w:p>
      <w:pPr>
        <w:spacing w:line="500" w:lineRule="exact"/>
        <w:ind w:firstLine="482" w:firstLineChars="200"/>
        <w:jc w:val="left"/>
        <w:rPr>
          <w:rFonts w:ascii="仿宋" w:hAnsi="仿宋" w:eastAsia="仿宋"/>
          <w:b/>
          <w:color w:val="000000"/>
          <w:sz w:val="24"/>
          <w:szCs w:val="24"/>
        </w:rPr>
      </w:pPr>
      <w:bookmarkStart w:id="279" w:name="_Toc30376_WPSOffice_Level3"/>
      <w:bookmarkStart w:id="280" w:name="_Toc24947_WPSOffice_Level1"/>
      <w:bookmarkStart w:id="281" w:name="_Toc6022_WPSOffice_Level1"/>
      <w:bookmarkStart w:id="282" w:name="_Toc2220_WPSOffice_Level1"/>
      <w:bookmarkStart w:id="283" w:name="_Toc31473_WPSOffice_Level1"/>
      <w:bookmarkStart w:id="284" w:name="_Toc31626_WPSOffice_Level1"/>
      <w:r>
        <w:rPr>
          <w:rFonts w:hint="eastAsia" w:ascii="仿宋" w:hAnsi="仿宋" w:eastAsia="仿宋"/>
          <w:b/>
          <w:color w:val="000000"/>
          <w:sz w:val="24"/>
          <w:szCs w:val="24"/>
        </w:rPr>
        <w:t>2.3完成期限</w:t>
      </w:r>
      <w:bookmarkEnd w:id="279"/>
      <w:r>
        <w:rPr>
          <w:rFonts w:hint="eastAsia" w:ascii="仿宋" w:hAnsi="仿宋" w:eastAsia="仿宋"/>
          <w:b/>
          <w:color w:val="000000"/>
          <w:sz w:val="24"/>
          <w:szCs w:val="24"/>
        </w:rPr>
        <w:t>及进度要求</w:t>
      </w:r>
      <w:bookmarkEnd w:id="280"/>
      <w:bookmarkEnd w:id="281"/>
      <w:bookmarkEnd w:id="282"/>
      <w:bookmarkEnd w:id="283"/>
      <w:bookmarkEnd w:id="284"/>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2.3.1项目实施周期</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合同签订后至2022年12月31日前，包括测算、定稿、宣贯等，其中绩效与激励办法须于2022年9月30日前完成，并于2022年10月1日开始正式执行。</w:t>
      </w:r>
    </w:p>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2.3.2项目进度时间要求如下：</w:t>
      </w:r>
    </w:p>
    <w:tbl>
      <w:tblPr>
        <w:tblStyle w:val="2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7"/>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507" w:type="dxa"/>
            <w:noWrap/>
            <w:vAlign w:val="center"/>
          </w:tcPr>
          <w:p>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进度</w:t>
            </w:r>
          </w:p>
        </w:tc>
        <w:tc>
          <w:tcPr>
            <w:tcW w:w="2373" w:type="dxa"/>
            <w:noWrap/>
            <w:vAlign w:val="center"/>
          </w:tcPr>
          <w:p>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507" w:type="dxa"/>
            <w:noWrap/>
            <w:vAlign w:val="center"/>
          </w:tcPr>
          <w:p>
            <w:pPr>
              <w:spacing w:line="360" w:lineRule="auto"/>
              <w:jc w:val="center"/>
              <w:rPr>
                <w:rFonts w:ascii="仿宋" w:hAnsi="仿宋" w:eastAsia="仿宋" w:cs="仿宋"/>
                <w:bCs/>
                <w:color w:val="000000"/>
                <w:sz w:val="24"/>
                <w:szCs w:val="24"/>
              </w:rPr>
            </w:pPr>
            <w:r>
              <w:rPr>
                <w:rFonts w:hint="eastAsia" w:ascii="仿宋" w:hAnsi="仿宋" w:eastAsia="仿宋" w:cs="仿宋"/>
                <w:bCs/>
                <w:color w:val="000000"/>
                <w:sz w:val="24"/>
                <w:szCs w:val="24"/>
              </w:rPr>
              <w:t>团队进驻</w:t>
            </w:r>
          </w:p>
        </w:tc>
        <w:tc>
          <w:tcPr>
            <w:tcW w:w="2373" w:type="dxa"/>
            <w:noWrap/>
            <w:vAlign w:val="center"/>
          </w:tcPr>
          <w:p>
            <w:pPr>
              <w:spacing w:line="360" w:lineRule="auto"/>
              <w:jc w:val="center"/>
              <w:rPr>
                <w:rFonts w:ascii="仿宋" w:hAnsi="仿宋" w:eastAsia="仿宋" w:cs="仿宋"/>
                <w:bCs/>
                <w:color w:val="000000"/>
                <w:sz w:val="24"/>
                <w:szCs w:val="24"/>
              </w:rPr>
            </w:pPr>
            <w:r>
              <w:rPr>
                <w:rFonts w:hint="eastAsia" w:ascii="仿宋" w:hAnsi="仿宋" w:eastAsia="仿宋" w:cs="仿宋"/>
                <w:bCs/>
                <w:color w:val="000000"/>
                <w:sz w:val="24"/>
                <w:szCs w:val="24"/>
              </w:rPr>
              <w:t>2022年9月上半旬前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507" w:type="dxa"/>
            <w:noWrap/>
            <w:vAlign w:val="center"/>
          </w:tcPr>
          <w:p>
            <w:pPr>
              <w:spacing w:line="360" w:lineRule="auto"/>
              <w:jc w:val="center"/>
              <w:rPr>
                <w:rFonts w:ascii="仿宋" w:hAnsi="仿宋" w:eastAsia="仿宋" w:cs="仿宋"/>
                <w:bCs/>
                <w:color w:val="000000"/>
                <w:sz w:val="24"/>
                <w:szCs w:val="24"/>
              </w:rPr>
            </w:pPr>
            <w:r>
              <w:rPr>
                <w:rFonts w:hint="eastAsia" w:ascii="仿宋" w:hAnsi="仿宋" w:eastAsia="仿宋" w:cs="仿宋"/>
                <w:bCs/>
                <w:color w:val="000000"/>
                <w:sz w:val="24"/>
                <w:szCs w:val="24"/>
              </w:rPr>
              <w:t>人力资源分析报告</w:t>
            </w:r>
          </w:p>
        </w:tc>
        <w:tc>
          <w:tcPr>
            <w:tcW w:w="2373" w:type="dxa"/>
            <w:noWrap/>
            <w:vAlign w:val="center"/>
          </w:tcPr>
          <w:p>
            <w:pPr>
              <w:spacing w:line="360" w:lineRule="auto"/>
              <w:jc w:val="center"/>
              <w:rPr>
                <w:rFonts w:ascii="仿宋" w:hAnsi="仿宋" w:eastAsia="仿宋" w:cs="仿宋"/>
                <w:bCs/>
                <w:color w:val="000000"/>
                <w:sz w:val="24"/>
                <w:szCs w:val="24"/>
              </w:rPr>
            </w:pPr>
            <w:r>
              <w:rPr>
                <w:rFonts w:hint="eastAsia" w:ascii="仿宋" w:hAnsi="仿宋" w:eastAsia="仿宋" w:cs="仿宋"/>
                <w:bCs/>
                <w:color w:val="000000"/>
                <w:sz w:val="24"/>
                <w:szCs w:val="24"/>
              </w:rPr>
              <w:t>2022年9月20日前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507" w:type="dxa"/>
            <w:noWrap/>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绩效考核与激励办法定稿</w:t>
            </w:r>
          </w:p>
        </w:tc>
        <w:tc>
          <w:tcPr>
            <w:tcW w:w="2373" w:type="dxa"/>
            <w:noWrap/>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2022年9月底前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8" w:hRule="atLeast"/>
          <w:jc w:val="center"/>
        </w:trPr>
        <w:tc>
          <w:tcPr>
            <w:tcW w:w="6507" w:type="dxa"/>
            <w:noWrap/>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职涯管理制度定稿</w:t>
            </w:r>
          </w:p>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薪酬管理办法定稿</w:t>
            </w:r>
          </w:p>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落地辅导及配套咨询工作</w:t>
            </w:r>
          </w:p>
        </w:tc>
        <w:tc>
          <w:tcPr>
            <w:tcW w:w="2373" w:type="dxa"/>
            <w:noWrap/>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2022年12月底前</w:t>
            </w:r>
          </w:p>
        </w:tc>
      </w:tr>
    </w:tbl>
    <w:p>
      <w:pPr>
        <w:spacing w:line="5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若因成交人原因违反以上时限要求，成交人应按成交金额的日万分之五支付逾期违约金。</w:t>
      </w:r>
    </w:p>
    <w:p>
      <w:pPr>
        <w:spacing w:line="500" w:lineRule="exact"/>
        <w:jc w:val="center"/>
        <w:rPr>
          <w:rFonts w:ascii="宋体" w:hAnsi="宋体"/>
          <w:b/>
          <w:sz w:val="32"/>
          <w:szCs w:val="22"/>
        </w:rPr>
      </w:pPr>
      <w:bookmarkStart w:id="285" w:name="_Toc9016"/>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pStyle w:val="2"/>
        <w:rPr>
          <w:rFonts w:ascii="宋体" w:hAnsi="宋体"/>
          <w:b/>
          <w:sz w:val="32"/>
          <w:szCs w:val="22"/>
        </w:rPr>
      </w:pPr>
    </w:p>
    <w:p>
      <w:pPr>
        <w:spacing w:line="500" w:lineRule="exact"/>
        <w:rPr>
          <w:rFonts w:ascii="宋体" w:hAnsi="宋体"/>
          <w:b/>
          <w:sz w:val="32"/>
          <w:szCs w:val="22"/>
        </w:rPr>
      </w:pPr>
    </w:p>
    <w:p>
      <w:pPr>
        <w:spacing w:line="500" w:lineRule="exact"/>
        <w:jc w:val="center"/>
        <w:rPr>
          <w:rFonts w:ascii="宋体" w:hAnsi="宋体"/>
          <w:b/>
          <w:sz w:val="32"/>
          <w:szCs w:val="22"/>
        </w:rPr>
      </w:pPr>
      <w:bookmarkStart w:id="286" w:name="_Toc11911_WPSOffice_Level1"/>
      <w:bookmarkStart w:id="287" w:name="_Toc26684_WPSOffice_Level1"/>
      <w:bookmarkStart w:id="288" w:name="_Toc16302_WPSOffice_Level1"/>
      <w:bookmarkStart w:id="289" w:name="_Toc23805_WPSOffice_Level1"/>
      <w:r>
        <w:rPr>
          <w:rFonts w:hint="eastAsia" w:ascii="宋体" w:hAnsi="宋体"/>
          <w:b/>
          <w:sz w:val="32"/>
          <w:szCs w:val="22"/>
        </w:rPr>
        <w:t>第三部分 评分标准</w:t>
      </w:r>
      <w:bookmarkEnd w:id="285"/>
      <w:bookmarkEnd w:id="286"/>
      <w:bookmarkEnd w:id="287"/>
      <w:bookmarkEnd w:id="288"/>
      <w:bookmarkEnd w:id="289"/>
    </w:p>
    <w:p>
      <w:pPr>
        <w:spacing w:line="560" w:lineRule="exact"/>
        <w:ind w:firstLine="480"/>
        <w:rPr>
          <w:rFonts w:ascii="仿宋_GB2312" w:hAnsi="仿宋_GB2312" w:eastAsia="仿宋_GB2312" w:cs="仿宋_GB2312"/>
          <w:sz w:val="32"/>
          <w:szCs w:val="32"/>
        </w:rPr>
      </w:pPr>
      <w:r>
        <w:rPr>
          <w:rFonts w:hint="eastAsia" w:ascii="仿宋" w:hAnsi="仿宋" w:eastAsia="仿宋" w:cs="仿宋"/>
          <w:szCs w:val="24"/>
        </w:rPr>
        <w:t>综合本项目的特点，根据相关法律法规的规定，本着保护竞争，维护采购工作公开、公平、公正原则，特制定本评标办法，作为选定本次采购成交人的依据。</w:t>
      </w:r>
    </w:p>
    <w:p>
      <w:pPr>
        <w:pStyle w:val="4"/>
        <w:numPr>
          <w:ilvl w:val="0"/>
          <w:numId w:val="0"/>
        </w:numPr>
        <w:spacing w:before="312" w:after="156" w:line="560" w:lineRule="exact"/>
        <w:ind w:left="576" w:hanging="576"/>
      </w:pPr>
      <w:bookmarkStart w:id="290" w:name="_Toc10782_WPSOffice_Level2"/>
      <w:bookmarkStart w:id="291" w:name="_Toc20466_WPSOffice_Level2"/>
      <w:bookmarkStart w:id="292" w:name="_Toc15540_WPSOffice_Level2"/>
      <w:bookmarkStart w:id="293" w:name="_Toc15646"/>
      <w:bookmarkStart w:id="294" w:name="_Toc14815_WPSOffice_Level2"/>
      <w:r>
        <w:rPr>
          <w:rFonts w:hint="eastAsia"/>
        </w:rPr>
        <w:t>1.成交原则</w:t>
      </w:r>
      <w:bookmarkEnd w:id="290"/>
      <w:bookmarkEnd w:id="291"/>
      <w:bookmarkEnd w:id="292"/>
      <w:bookmarkEnd w:id="293"/>
      <w:bookmarkEnd w:id="294"/>
    </w:p>
    <w:p>
      <w:pPr>
        <w:spacing w:line="560" w:lineRule="exact"/>
        <w:ind w:firstLine="480"/>
        <w:rPr>
          <w:rFonts w:ascii="仿宋" w:hAnsi="仿宋" w:eastAsia="仿宋" w:cs="仿宋"/>
          <w:szCs w:val="24"/>
        </w:rPr>
      </w:pPr>
      <w:r>
        <w:rPr>
          <w:rFonts w:hint="eastAsia" w:ascii="仿宋" w:hAnsi="仿宋" w:eastAsia="仿宋" w:cs="仿宋"/>
          <w:szCs w:val="24"/>
        </w:rPr>
        <w:t xml:space="preserve">第一原则：项目标的最高控制价80万元；响应价不得超过控制价，否则，该响应将视为无效。 </w:t>
      </w:r>
    </w:p>
    <w:p>
      <w:pPr>
        <w:spacing w:line="560" w:lineRule="exact"/>
        <w:ind w:firstLine="480"/>
        <w:rPr>
          <w:rFonts w:ascii="仿宋" w:hAnsi="仿宋" w:eastAsia="仿宋" w:cs="仿宋"/>
          <w:szCs w:val="24"/>
        </w:rPr>
      </w:pPr>
      <w:r>
        <w:rPr>
          <w:rFonts w:hint="eastAsia" w:ascii="仿宋" w:hAnsi="仿宋" w:eastAsia="仿宋" w:cs="仿宋"/>
          <w:szCs w:val="24"/>
        </w:rPr>
        <w:t>第二原则：满足技术要求的综合评分第一位为第一成交人；</w:t>
      </w:r>
    </w:p>
    <w:p>
      <w:pPr>
        <w:spacing w:line="560" w:lineRule="exact"/>
        <w:ind w:firstLine="480"/>
        <w:rPr>
          <w:rFonts w:ascii="仿宋" w:hAnsi="仿宋" w:eastAsia="仿宋" w:cs="仿宋"/>
          <w:szCs w:val="24"/>
        </w:rPr>
      </w:pPr>
      <w:r>
        <w:rPr>
          <w:rFonts w:hint="eastAsia" w:ascii="仿宋" w:hAnsi="仿宋" w:eastAsia="仿宋" w:cs="仿宋"/>
          <w:szCs w:val="24"/>
        </w:rPr>
        <w:t>第三原则：综合评分相同，依照价格最优的厂商、技术分最优的厂商、综合实力依次评判。</w:t>
      </w:r>
    </w:p>
    <w:p>
      <w:pPr>
        <w:spacing w:line="560" w:lineRule="exact"/>
        <w:ind w:firstLine="640"/>
        <w:rPr>
          <w:rFonts w:ascii="仿宋_GB2312" w:hAnsi="仿宋_GB2312" w:eastAsia="仿宋_GB2312" w:cs="仿宋_GB2312"/>
          <w:sz w:val="32"/>
          <w:szCs w:val="32"/>
        </w:rPr>
      </w:pPr>
    </w:p>
    <w:p>
      <w:pPr>
        <w:pStyle w:val="4"/>
        <w:numPr>
          <w:ilvl w:val="0"/>
          <w:numId w:val="0"/>
        </w:numPr>
        <w:spacing w:before="312" w:after="156" w:line="560" w:lineRule="exact"/>
        <w:ind w:left="576" w:hanging="576"/>
      </w:pPr>
      <w:bookmarkStart w:id="295" w:name="_Toc25879_WPSOffice_Level2"/>
      <w:bookmarkStart w:id="296" w:name="_Toc24203"/>
      <w:bookmarkStart w:id="297" w:name="_Toc16878_WPSOffice_Level2"/>
      <w:bookmarkStart w:id="298" w:name="_Toc14404_WPSOffice_Level2"/>
      <w:bookmarkStart w:id="299" w:name="_Toc23524_WPSOffice_Level2"/>
      <w:r>
        <w:rPr>
          <w:rFonts w:hint="eastAsia"/>
        </w:rPr>
        <w:t>2.评标权重</w:t>
      </w:r>
      <w:bookmarkEnd w:id="295"/>
      <w:bookmarkEnd w:id="296"/>
      <w:bookmarkEnd w:id="297"/>
      <w:bookmarkEnd w:id="298"/>
      <w:bookmarkEnd w:id="299"/>
    </w:p>
    <w:p>
      <w:pPr>
        <w:spacing w:line="560" w:lineRule="exact"/>
        <w:ind w:firstLine="480"/>
        <w:rPr>
          <w:rFonts w:ascii="仿宋" w:hAnsi="仿宋" w:eastAsia="仿宋" w:cs="仿宋"/>
          <w:szCs w:val="24"/>
        </w:rPr>
      </w:pPr>
      <w:r>
        <w:rPr>
          <w:rFonts w:hint="eastAsia" w:ascii="仿宋" w:hAnsi="仿宋" w:eastAsia="仿宋" w:cs="仿宋"/>
          <w:szCs w:val="24"/>
        </w:rPr>
        <w:t>本次评标采用综合评分法，其中商务评议20分，技术评议80分。</w:t>
      </w:r>
    </w:p>
    <w:p>
      <w:pPr>
        <w:spacing w:line="560" w:lineRule="exact"/>
        <w:ind w:firstLine="480"/>
        <w:rPr>
          <w:rFonts w:ascii="仿宋" w:hAnsi="仿宋" w:eastAsia="仿宋" w:cs="仿宋"/>
          <w:szCs w:val="24"/>
        </w:rPr>
      </w:pPr>
      <w:r>
        <w:rPr>
          <w:rFonts w:hint="eastAsia" w:ascii="仿宋" w:hAnsi="仿宋" w:eastAsia="仿宋" w:cs="仿宋"/>
          <w:szCs w:val="24"/>
        </w:rPr>
        <w:t>在满足采购文件要求的前提下，对每个有效响应供应商的响应文件分别进行综合评分并汇总。综合得分（技术标得分＋商务标得分）最高者为第一名，依次类推确定得分排名顺序，推荐排名第一的响应供应商为成交候选人。若出现二家响应供应商并列最高分，则确定响应报价较低者为成交候选人。若出现排名第一的成交候选人放弃成交或不能按采购文件规定签订合同等原因取消成交资格，则按排名顺序依次确定排名第二的成交候选人为成交人。</w:t>
      </w:r>
    </w:p>
    <w:p>
      <w:pPr>
        <w:spacing w:line="560" w:lineRule="exact"/>
        <w:ind w:firstLine="640"/>
        <w:rPr>
          <w:rFonts w:ascii="仿宋_GB2312" w:hAnsi="仿宋_GB2312" w:eastAsia="仿宋_GB2312" w:cs="仿宋_GB2312"/>
          <w:sz w:val="32"/>
          <w:szCs w:val="32"/>
        </w:rPr>
      </w:pPr>
    </w:p>
    <w:p>
      <w:pPr>
        <w:spacing w:line="440" w:lineRule="exact"/>
        <w:jc w:val="center"/>
        <w:rPr>
          <w:rFonts w:ascii="宋体" w:hAnsi="宋体"/>
          <w:b/>
          <w:sz w:val="26"/>
        </w:rPr>
      </w:pPr>
    </w:p>
    <w:p>
      <w:pPr>
        <w:spacing w:line="440" w:lineRule="exact"/>
        <w:jc w:val="center"/>
        <w:rPr>
          <w:rFonts w:ascii="宋体" w:hAnsi="宋体"/>
          <w:b/>
          <w:sz w:val="26"/>
        </w:rPr>
      </w:pPr>
    </w:p>
    <w:p>
      <w:pPr>
        <w:spacing w:line="440" w:lineRule="exact"/>
        <w:jc w:val="center"/>
        <w:rPr>
          <w:rFonts w:ascii="宋体" w:hAnsi="宋体"/>
          <w:b/>
          <w:sz w:val="26"/>
        </w:rPr>
      </w:pPr>
    </w:p>
    <w:p>
      <w:pPr>
        <w:spacing w:line="500" w:lineRule="exact"/>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4"/>
        <w:numPr>
          <w:ilvl w:val="0"/>
          <w:numId w:val="0"/>
        </w:numPr>
        <w:spacing w:before="312" w:after="156" w:line="560" w:lineRule="exact"/>
        <w:ind w:left="576" w:hanging="576"/>
      </w:pPr>
      <w:bookmarkStart w:id="300" w:name="_Toc1638_WPSOffice_Level2"/>
      <w:bookmarkStart w:id="301" w:name="_Toc519_WPSOffice_Level2"/>
      <w:bookmarkStart w:id="302" w:name="_Toc32711_WPSOffice_Level2"/>
      <w:bookmarkStart w:id="303" w:name="_Toc5050_WPSOffice_Level2"/>
      <w:bookmarkStart w:id="304" w:name="_Toc10836"/>
      <w:r>
        <w:rPr>
          <w:rFonts w:hint="eastAsia"/>
        </w:rPr>
        <w:t>3.评分细则</w:t>
      </w:r>
      <w:bookmarkEnd w:id="300"/>
      <w:bookmarkEnd w:id="301"/>
      <w:bookmarkEnd w:id="302"/>
      <w:bookmarkEnd w:id="303"/>
      <w:bookmarkEnd w:id="304"/>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08"/>
        <w:gridCol w:w="6059"/>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4"/>
              </w:rPr>
            </w:pPr>
            <w:r>
              <w:rPr>
                <w:rFonts w:hint="eastAsia" w:ascii="仿宋" w:hAnsi="仿宋" w:eastAsia="仿宋" w:cs="仿宋"/>
                <w:szCs w:val="24"/>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4"/>
              </w:rPr>
            </w:pPr>
            <w:r>
              <w:rPr>
                <w:rFonts w:hint="eastAsia" w:ascii="仿宋" w:hAnsi="仿宋" w:eastAsia="仿宋" w:cs="仿宋"/>
                <w:szCs w:val="24"/>
              </w:rPr>
              <w:t>评审因素</w:t>
            </w:r>
          </w:p>
        </w:tc>
        <w:tc>
          <w:tcPr>
            <w:tcW w:w="60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评分说明</w:t>
            </w:r>
          </w:p>
        </w:tc>
        <w:tc>
          <w:tcPr>
            <w:tcW w:w="79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4"/>
              </w:rPr>
            </w:pPr>
            <w:r>
              <w:rPr>
                <w:rFonts w:hint="eastAsia" w:ascii="仿宋" w:hAnsi="仿宋" w:eastAsia="仿宋" w:cs="仿宋"/>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1</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响应报价</w:t>
            </w:r>
          </w:p>
        </w:tc>
        <w:tc>
          <w:tcPr>
            <w:tcW w:w="6059" w:type="dxa"/>
            <w:tcBorders>
              <w:top w:val="single" w:color="auto" w:sz="4" w:space="0"/>
              <w:left w:val="single" w:color="auto" w:sz="4" w:space="0"/>
              <w:bottom w:val="single" w:color="auto" w:sz="4" w:space="0"/>
              <w:right w:val="single" w:color="auto" w:sz="4" w:space="0"/>
            </w:tcBorders>
            <w:vAlign w:val="center"/>
          </w:tcPr>
          <w:p>
            <w:pPr>
              <w:pStyle w:val="39"/>
              <w:rPr>
                <w:rFonts w:ascii="仿宋" w:hAnsi="仿宋" w:eastAsia="仿宋" w:cs="仿宋"/>
                <w:color w:val="000000"/>
                <w:szCs w:val="21"/>
              </w:rPr>
            </w:pPr>
            <w:r>
              <w:rPr>
                <w:rFonts w:hint="eastAsia" w:ascii="仿宋" w:hAnsi="仿宋" w:eastAsia="仿宋" w:cs="仿宋"/>
                <w:color w:val="000000"/>
                <w:szCs w:val="21"/>
              </w:rPr>
              <w:t>商务评分标准：取有效标响应报价的算术平均值为评分基准值。其他响应供应商响应价与基准值对比，计算出商务标的评分值，具体办法如下：经评审等于基准值的响应价，得分20分。</w:t>
            </w:r>
          </w:p>
          <w:p>
            <w:pPr>
              <w:pStyle w:val="39"/>
              <w:rPr>
                <w:rFonts w:ascii="仿宋" w:hAnsi="仿宋" w:eastAsia="仿宋" w:cs="仿宋"/>
                <w:color w:val="000000"/>
              </w:rPr>
            </w:pPr>
            <w:r>
              <w:rPr>
                <w:rFonts w:hint="eastAsia" w:ascii="仿宋" w:hAnsi="仿宋" w:eastAsia="仿宋" w:cs="仿宋"/>
                <w:color w:val="000000"/>
                <w:szCs w:val="21"/>
              </w:rPr>
              <w:t>在基准值以上的响应价：响应报价每高于基准值1%，扣1分，最多减至15分；在基准值以下的响应价：响应报价每低于基准值1%，扣0.5分，最多减至15分。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134" w:type="dxa"/>
            <w:gridSpan w:val="3"/>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tcPr>
          <w:p>
            <w:pPr>
              <w:ind w:firstLine="480"/>
              <w:jc w:val="center"/>
              <w:rPr>
                <w:rFonts w:ascii="仿宋" w:hAnsi="仿宋" w:eastAsia="仿宋" w:cs="仿宋"/>
                <w:szCs w:val="24"/>
              </w:rPr>
            </w:pPr>
            <w:r>
              <w:rPr>
                <w:rFonts w:hint="eastAsia" w:ascii="仿宋" w:hAnsi="仿宋" w:eastAsia="仿宋" w:cs="仿宋"/>
                <w:szCs w:val="24"/>
              </w:rPr>
              <w:t xml:space="preserve">     商务评分总计</w:t>
            </w:r>
          </w:p>
        </w:tc>
        <w:tc>
          <w:tcPr>
            <w:tcW w:w="796" w:type="dxa"/>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tcPr>
          <w:p>
            <w:pPr>
              <w:jc w:val="center"/>
              <w:rPr>
                <w:rFonts w:ascii="仿宋" w:hAnsi="仿宋" w:eastAsia="仿宋" w:cs="仿宋"/>
                <w:szCs w:val="24"/>
              </w:rPr>
            </w:pPr>
            <w:r>
              <w:rPr>
                <w:rFonts w:hint="eastAsia" w:ascii="仿宋" w:hAnsi="仿宋" w:eastAsia="仿宋" w:cs="仿宋"/>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评审因素</w:t>
            </w:r>
          </w:p>
        </w:tc>
        <w:tc>
          <w:tcPr>
            <w:tcW w:w="60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评分说明</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2</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4"/>
              </w:rPr>
            </w:pPr>
            <w:r>
              <w:rPr>
                <w:rFonts w:hint="eastAsia" w:ascii="仿宋" w:hAnsi="仿宋" w:eastAsia="仿宋" w:cs="仿宋"/>
                <w:b/>
                <w:color w:val="000000"/>
                <w:szCs w:val="21"/>
              </w:rPr>
              <w:t>项目业绩</w:t>
            </w:r>
          </w:p>
        </w:tc>
        <w:tc>
          <w:tcPr>
            <w:tcW w:w="6059" w:type="dxa"/>
            <w:tcBorders>
              <w:top w:val="single" w:color="auto" w:sz="4" w:space="0"/>
              <w:left w:val="single" w:color="auto" w:sz="4" w:space="0"/>
              <w:bottom w:val="single" w:color="auto" w:sz="4" w:space="0"/>
              <w:right w:val="single" w:color="auto" w:sz="4" w:space="0"/>
            </w:tcBorders>
            <w:vAlign w:val="center"/>
          </w:tcPr>
          <w:p>
            <w:pPr>
              <w:pStyle w:val="39"/>
              <w:rPr>
                <w:rFonts w:ascii="仿宋" w:hAnsi="仿宋" w:eastAsia="仿宋" w:cs="仿宋"/>
                <w:color w:val="000000"/>
                <w:szCs w:val="21"/>
              </w:rPr>
            </w:pPr>
            <w:r>
              <w:rPr>
                <w:rFonts w:hint="eastAsia" w:ascii="仿宋" w:hAnsi="仿宋" w:eastAsia="仿宋" w:cs="仿宋"/>
                <w:color w:val="000000"/>
                <w:szCs w:val="21"/>
              </w:rPr>
              <w:t>（1）响应供应商</w:t>
            </w:r>
            <w:r>
              <w:rPr>
                <w:rFonts w:hint="eastAsia" w:ascii="仿宋" w:hAnsi="仿宋" w:eastAsia="仿宋" w:cs="仿宋"/>
                <w:szCs w:val="24"/>
              </w:rPr>
              <w:t>近5年（2017年8月至今）</w:t>
            </w:r>
            <w:r>
              <w:rPr>
                <w:rFonts w:hint="eastAsia" w:ascii="仿宋" w:hAnsi="仿宋" w:eastAsia="仿宋" w:cs="仿宋"/>
                <w:color w:val="000000"/>
                <w:szCs w:val="21"/>
              </w:rPr>
              <w:t>类似项目业绩（</w:t>
            </w:r>
            <w:r>
              <w:rPr>
                <w:rFonts w:hint="eastAsia" w:ascii="仿宋" w:hAnsi="仿宋" w:eastAsia="仿宋" w:cs="仿宋"/>
                <w:szCs w:val="24"/>
              </w:rPr>
              <w:t>合同金额不小于50</w:t>
            </w:r>
            <w:r>
              <w:rPr>
                <w:rFonts w:hint="eastAsia" w:ascii="仿宋" w:hAnsi="仿宋" w:eastAsia="仿宋" w:cs="仿宋"/>
                <w:color w:val="000000"/>
                <w:szCs w:val="21"/>
              </w:rPr>
              <w:t>万的国有企业人力资源咨询服务项目）有1项得2分，每增加1项得2分，累计得分不超过6分。</w:t>
            </w:r>
          </w:p>
          <w:p>
            <w:pPr>
              <w:pStyle w:val="39"/>
              <w:rPr>
                <w:rFonts w:ascii="仿宋" w:hAnsi="仿宋" w:eastAsia="仿宋" w:cs="仿宋"/>
                <w:color w:val="000000"/>
                <w:szCs w:val="21"/>
              </w:rPr>
            </w:pPr>
            <w:r>
              <w:rPr>
                <w:rFonts w:hint="eastAsia" w:ascii="仿宋" w:hAnsi="仿宋" w:eastAsia="仿宋" w:cs="仿宋"/>
                <w:szCs w:val="24"/>
              </w:rPr>
              <w:t>（2）响应供应商近5年（2017年8月至今）为上市公司、国有独资公司、世界500强、中国500强上榜企业薪酬、绩效等咨询业绩</w:t>
            </w:r>
            <w:r>
              <w:rPr>
                <w:rFonts w:hint="eastAsia" w:ascii="仿宋" w:hAnsi="仿宋" w:eastAsia="仿宋" w:cs="仿宋"/>
                <w:color w:val="000000"/>
                <w:szCs w:val="21"/>
              </w:rPr>
              <w:t>有1项得2分，每增加1项得2分，累计得分不超过14分。</w:t>
            </w:r>
          </w:p>
          <w:p>
            <w:pPr>
              <w:pStyle w:val="39"/>
              <w:rPr>
                <w:rFonts w:ascii="仿宋" w:hAnsi="仿宋" w:eastAsia="仿宋" w:cs="仿宋"/>
                <w:color w:val="000000"/>
                <w:szCs w:val="21"/>
              </w:rPr>
            </w:pPr>
            <w:r>
              <w:rPr>
                <w:rFonts w:hint="eastAsia" w:ascii="仿宋" w:hAnsi="仿宋" w:eastAsia="仿宋" w:cs="仿宋"/>
                <w:b/>
                <w:bCs/>
                <w:color w:val="000000"/>
                <w:szCs w:val="21"/>
              </w:rPr>
              <w:t>备注：（1）和（2）如有重合业绩，不重复得分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76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3</w:t>
            </w:r>
          </w:p>
        </w:tc>
        <w:tc>
          <w:tcPr>
            <w:tcW w:w="1308"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color w:val="000000"/>
                <w:szCs w:val="21"/>
                <w:highlight w:val="yellow"/>
              </w:rPr>
            </w:pPr>
            <w:r>
              <w:rPr>
                <w:rFonts w:hint="eastAsia" w:ascii="仿宋" w:hAnsi="仿宋" w:eastAsia="仿宋" w:cs="仿宋"/>
                <w:b/>
                <w:color w:val="000000"/>
                <w:szCs w:val="21"/>
              </w:rPr>
              <w:t>项目管理</w:t>
            </w:r>
          </w:p>
        </w:tc>
        <w:tc>
          <w:tcPr>
            <w:tcW w:w="6059" w:type="dxa"/>
            <w:tcBorders>
              <w:top w:val="single" w:color="auto" w:sz="4" w:space="0"/>
              <w:left w:val="single" w:color="auto" w:sz="4" w:space="0"/>
              <w:right w:val="single" w:color="auto" w:sz="4" w:space="0"/>
            </w:tcBorders>
            <w:vAlign w:val="center"/>
          </w:tcPr>
          <w:p>
            <w:pPr>
              <w:rPr>
                <w:rFonts w:ascii="仿宋" w:hAnsi="仿宋" w:eastAsia="仿宋" w:cs="仿宋"/>
                <w:szCs w:val="24"/>
              </w:rPr>
            </w:pPr>
            <w:r>
              <w:rPr>
                <w:rFonts w:hint="eastAsia" w:ascii="仿宋" w:hAnsi="仿宋" w:eastAsia="仿宋" w:cs="仿宋"/>
                <w:color w:val="000000"/>
                <w:szCs w:val="21"/>
              </w:rPr>
              <w:t>项目组织架构及管理模式完善有利于本项目的实施。较好得3分，一般得2分，较差得0-1分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67" w:type="dxa"/>
            <w:vMerge w:val="continue"/>
            <w:tcBorders>
              <w:left w:val="single" w:color="auto" w:sz="4" w:space="0"/>
              <w:right w:val="single" w:color="auto" w:sz="4" w:space="0"/>
            </w:tcBorders>
            <w:vAlign w:val="center"/>
          </w:tcPr>
          <w:p>
            <w:pPr>
              <w:jc w:val="center"/>
              <w:rPr>
                <w:rFonts w:ascii="仿宋" w:hAnsi="仿宋" w:eastAsia="仿宋" w:cs="仿宋"/>
                <w:szCs w:val="24"/>
              </w:rPr>
            </w:pPr>
          </w:p>
        </w:tc>
        <w:tc>
          <w:tcPr>
            <w:tcW w:w="1308" w:type="dxa"/>
            <w:vMerge w:val="continue"/>
            <w:tcBorders>
              <w:left w:val="single" w:color="auto" w:sz="4" w:space="0"/>
              <w:right w:val="single" w:color="auto" w:sz="4" w:space="0"/>
            </w:tcBorders>
            <w:vAlign w:val="center"/>
          </w:tcPr>
          <w:p>
            <w:pPr>
              <w:jc w:val="center"/>
              <w:rPr>
                <w:rFonts w:ascii="仿宋" w:hAnsi="仿宋" w:eastAsia="仿宋" w:cs="仿宋"/>
                <w:b/>
                <w:color w:val="000000"/>
                <w:szCs w:val="21"/>
                <w:highlight w:val="yellow"/>
              </w:rPr>
            </w:pPr>
          </w:p>
        </w:tc>
        <w:tc>
          <w:tcPr>
            <w:tcW w:w="6059" w:type="dxa"/>
            <w:tcBorders>
              <w:top w:val="single" w:color="auto" w:sz="4" w:space="0"/>
              <w:left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参与本次项目的队伍人员力量、经验，专家和人员较多、经验较丰富、驻场时间较长得5-6分，一般得3-4分，较差得0-2分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4</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000000"/>
                <w:szCs w:val="21"/>
              </w:rPr>
            </w:pPr>
            <w:r>
              <w:rPr>
                <w:rFonts w:hint="eastAsia" w:ascii="仿宋" w:hAnsi="仿宋" w:eastAsia="仿宋" w:cs="仿宋"/>
                <w:b/>
                <w:color w:val="000000"/>
                <w:szCs w:val="21"/>
              </w:rPr>
              <w:t>财务状况</w:t>
            </w:r>
          </w:p>
        </w:tc>
        <w:tc>
          <w:tcPr>
            <w:tcW w:w="60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咨询公司经营业绩情况，以2021年财务报表中营收、利润、资产总额、现金流等数据为依据。总体业绩、经营情况良好得3分，一般得2分，较差得0-1分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76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5</w:t>
            </w:r>
          </w:p>
        </w:tc>
        <w:tc>
          <w:tcPr>
            <w:tcW w:w="1308"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b/>
                <w:bCs/>
                <w:szCs w:val="24"/>
              </w:rPr>
              <w:t>项目方案</w:t>
            </w:r>
          </w:p>
        </w:tc>
        <w:tc>
          <w:tcPr>
            <w:tcW w:w="605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4"/>
              </w:rPr>
            </w:pPr>
            <w:r>
              <w:rPr>
                <w:rFonts w:hint="eastAsia" w:ascii="仿宋" w:hAnsi="仿宋" w:eastAsia="仿宋" w:cs="仿宋"/>
                <w:szCs w:val="24"/>
              </w:rPr>
              <w:t>方案比较完整，具有前瞻性，需求点对点应答，有项目规划能力。较好得10-15分，一般得6-9分，较差得0-5分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767" w:type="dxa"/>
            <w:vMerge w:val="continue"/>
            <w:tcBorders>
              <w:left w:val="single" w:color="auto" w:sz="4" w:space="0"/>
              <w:right w:val="single" w:color="auto" w:sz="4" w:space="0"/>
            </w:tcBorders>
            <w:vAlign w:val="center"/>
          </w:tcPr>
          <w:p>
            <w:pPr>
              <w:jc w:val="center"/>
              <w:rPr>
                <w:rFonts w:ascii="仿宋" w:hAnsi="仿宋" w:eastAsia="仿宋" w:cs="仿宋"/>
                <w:szCs w:val="24"/>
              </w:rPr>
            </w:pPr>
          </w:p>
        </w:tc>
        <w:tc>
          <w:tcPr>
            <w:tcW w:w="1308" w:type="dxa"/>
            <w:vMerge w:val="continue"/>
            <w:tcBorders>
              <w:left w:val="single" w:color="auto" w:sz="4" w:space="0"/>
              <w:right w:val="single" w:color="auto" w:sz="4" w:space="0"/>
            </w:tcBorders>
            <w:vAlign w:val="center"/>
          </w:tcPr>
          <w:p>
            <w:pPr>
              <w:jc w:val="left"/>
              <w:rPr>
                <w:rFonts w:ascii="仿宋" w:hAnsi="仿宋" w:eastAsia="仿宋" w:cs="仿宋"/>
                <w:szCs w:val="24"/>
              </w:rPr>
            </w:pPr>
          </w:p>
        </w:tc>
        <w:tc>
          <w:tcPr>
            <w:tcW w:w="605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4"/>
              </w:rPr>
            </w:pPr>
            <w:r>
              <w:rPr>
                <w:rFonts w:hint="eastAsia" w:ascii="仿宋" w:hAnsi="仿宋" w:eastAsia="仿宋" w:cs="仿宋"/>
                <w:szCs w:val="24"/>
              </w:rPr>
              <w:t>方案实施规划流程清晰，任务明确，各阶段工作和时间安排合理，可操作性强，与项目预期较吻合。较好得10-15分，一般得6-9分，较差得0-5分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767" w:type="dxa"/>
            <w:vMerge w:val="continue"/>
            <w:tcBorders>
              <w:left w:val="single" w:color="auto" w:sz="4" w:space="0"/>
              <w:right w:val="single" w:color="auto" w:sz="4" w:space="0"/>
            </w:tcBorders>
            <w:vAlign w:val="center"/>
          </w:tcPr>
          <w:p>
            <w:pPr>
              <w:jc w:val="center"/>
              <w:rPr>
                <w:rFonts w:ascii="仿宋" w:hAnsi="仿宋" w:eastAsia="仿宋" w:cs="仿宋"/>
                <w:szCs w:val="24"/>
              </w:rPr>
            </w:pPr>
          </w:p>
        </w:tc>
        <w:tc>
          <w:tcPr>
            <w:tcW w:w="1308" w:type="dxa"/>
            <w:vMerge w:val="continue"/>
            <w:tcBorders>
              <w:left w:val="single" w:color="auto" w:sz="4" w:space="0"/>
              <w:right w:val="single" w:color="auto" w:sz="4" w:space="0"/>
            </w:tcBorders>
            <w:vAlign w:val="center"/>
          </w:tcPr>
          <w:p>
            <w:pPr>
              <w:jc w:val="left"/>
              <w:rPr>
                <w:rFonts w:ascii="仿宋" w:hAnsi="仿宋" w:eastAsia="仿宋" w:cs="仿宋"/>
                <w:szCs w:val="24"/>
              </w:rPr>
            </w:pPr>
          </w:p>
        </w:tc>
        <w:tc>
          <w:tcPr>
            <w:tcW w:w="605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仿宋" w:hAnsi="仿宋" w:eastAsia="仿宋" w:cs="仿宋"/>
                <w:szCs w:val="24"/>
              </w:rPr>
              <w:t>对采购人人力资源需求整体方向把握准确，对其战略高度理解到位，定位清楚。较好得7-10分，一般得4-6分，较差得0-3分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767"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Cs w:val="24"/>
              </w:rPr>
            </w:pPr>
          </w:p>
        </w:tc>
        <w:tc>
          <w:tcPr>
            <w:tcW w:w="1308" w:type="dxa"/>
            <w:vMerge w:val="continue"/>
            <w:tcBorders>
              <w:left w:val="single" w:color="auto" w:sz="4" w:space="0"/>
              <w:right w:val="single" w:color="auto" w:sz="4" w:space="0"/>
            </w:tcBorders>
            <w:vAlign w:val="center"/>
          </w:tcPr>
          <w:p>
            <w:pPr>
              <w:jc w:val="left"/>
              <w:rPr>
                <w:rFonts w:ascii="仿宋" w:hAnsi="仿宋" w:eastAsia="仿宋" w:cs="仿宋"/>
                <w:szCs w:val="24"/>
              </w:rPr>
            </w:pPr>
          </w:p>
        </w:tc>
        <w:tc>
          <w:tcPr>
            <w:tcW w:w="6059" w:type="dxa"/>
            <w:tcBorders>
              <w:top w:val="single" w:color="auto" w:sz="4" w:space="0"/>
              <w:left w:val="single" w:color="auto" w:sz="4" w:space="0"/>
              <w:bottom w:val="single" w:color="auto" w:sz="4" w:space="0"/>
              <w:right w:val="single" w:color="auto" w:sz="4" w:space="0"/>
            </w:tcBorders>
            <w:vAlign w:val="center"/>
          </w:tcPr>
          <w:p>
            <w:pPr>
              <w:jc w:val="left"/>
              <w:rPr>
                <w:rFonts w:eastAsia="仿宋"/>
              </w:rPr>
            </w:pPr>
            <w:r>
              <w:rPr>
                <w:rFonts w:hint="eastAsia" w:ascii="仿宋" w:hAnsi="仿宋" w:eastAsia="仿宋" w:cs="仿宋"/>
                <w:szCs w:val="24"/>
              </w:rPr>
              <w:t>对项目落地实施的宣贯和培训计划明确、充分。较好得4-5分，一般得2-3分，较差得0-1分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6</w:t>
            </w:r>
          </w:p>
        </w:tc>
        <w:tc>
          <w:tcPr>
            <w:tcW w:w="1308" w:type="dxa"/>
            <w:tcBorders>
              <w:left w:val="single" w:color="auto" w:sz="4" w:space="0"/>
              <w:right w:val="single" w:color="auto" w:sz="4" w:space="0"/>
            </w:tcBorders>
            <w:vAlign w:val="center"/>
          </w:tcPr>
          <w:p>
            <w:pPr>
              <w:jc w:val="center"/>
              <w:rPr>
                <w:rFonts w:ascii="仿宋" w:hAnsi="仿宋" w:eastAsia="仿宋" w:cs="仿宋"/>
                <w:szCs w:val="24"/>
              </w:rPr>
            </w:pPr>
            <w:r>
              <w:rPr>
                <w:rFonts w:ascii="仿宋" w:hAnsi="仿宋" w:eastAsia="仿宋" w:cs="仿宋"/>
                <w:b/>
                <w:bCs/>
                <w:szCs w:val="24"/>
              </w:rPr>
              <w:t>售后服务方案</w:t>
            </w:r>
          </w:p>
        </w:tc>
        <w:tc>
          <w:tcPr>
            <w:tcW w:w="605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4"/>
              </w:rPr>
            </w:pPr>
            <w:r>
              <w:rPr>
                <w:rFonts w:hint="eastAsia" w:ascii="仿宋" w:hAnsi="仿宋" w:eastAsia="仿宋" w:cs="仿宋"/>
                <w:szCs w:val="24"/>
              </w:rPr>
              <w:t>响应供应商在项目落地执行后可提供的后续服务方案。较好得3分，一般得2分，较差得0-1分</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4"/>
              </w:rPr>
            </w:pPr>
            <w:r>
              <w:rPr>
                <w:rFonts w:hint="eastAsia" w:ascii="仿宋" w:hAnsi="仿宋" w:eastAsia="仿宋" w:cs="仿宋"/>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134" w:type="dxa"/>
            <w:gridSpan w:val="3"/>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tcPr>
          <w:p>
            <w:pPr>
              <w:ind w:firstLine="480"/>
              <w:jc w:val="center"/>
              <w:rPr>
                <w:rFonts w:ascii="仿宋" w:hAnsi="仿宋" w:eastAsia="仿宋" w:cs="仿宋"/>
                <w:szCs w:val="24"/>
              </w:rPr>
            </w:pPr>
            <w:r>
              <w:rPr>
                <w:rFonts w:hint="eastAsia" w:ascii="仿宋" w:hAnsi="仿宋" w:eastAsia="仿宋" w:cs="仿宋"/>
                <w:szCs w:val="24"/>
              </w:rPr>
              <w:t>技术评分总计</w:t>
            </w:r>
          </w:p>
        </w:tc>
        <w:tc>
          <w:tcPr>
            <w:tcW w:w="796" w:type="dxa"/>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tcPr>
          <w:p>
            <w:pPr>
              <w:jc w:val="center"/>
              <w:rPr>
                <w:rFonts w:ascii="仿宋" w:hAnsi="仿宋" w:eastAsia="仿宋" w:cs="仿宋"/>
                <w:szCs w:val="24"/>
              </w:rPr>
            </w:pPr>
            <w:r>
              <w:rPr>
                <w:rFonts w:hint="eastAsia" w:ascii="仿宋" w:hAnsi="仿宋" w:eastAsia="仿宋" w:cs="仿宋"/>
                <w:szCs w:val="24"/>
              </w:rPr>
              <w:t>80</w:t>
            </w:r>
          </w:p>
        </w:tc>
      </w:tr>
    </w:tbl>
    <w:p>
      <w:pPr>
        <w:spacing w:line="500" w:lineRule="exact"/>
        <w:rPr>
          <w:rFonts w:ascii="宋体" w:hAnsi="宋体"/>
          <w:color w:val="000000"/>
          <w:sz w:val="24"/>
          <w:szCs w:val="24"/>
        </w:rPr>
      </w:pPr>
    </w:p>
    <w:p>
      <w:pPr>
        <w:spacing w:line="500" w:lineRule="exact"/>
        <w:rPr>
          <w:rFonts w:ascii="宋体" w:hAnsi="宋体"/>
          <w:color w:val="000000"/>
          <w:sz w:val="24"/>
          <w:szCs w:val="24"/>
        </w:rPr>
      </w:pPr>
    </w:p>
    <w:p>
      <w:pPr>
        <w:spacing w:line="500" w:lineRule="exact"/>
        <w:jc w:val="center"/>
        <w:rPr>
          <w:rFonts w:ascii="宋体" w:hAnsi="宋体"/>
          <w:b/>
          <w:sz w:val="32"/>
        </w:rPr>
      </w:pPr>
      <w:bookmarkStart w:id="305" w:name="_Toc6609_WPSOffice_Level1"/>
      <w:bookmarkStart w:id="306" w:name="_Toc862_WPSOffice_Level1"/>
      <w:bookmarkStart w:id="307" w:name="_Toc5828_WPSOffice_Level1"/>
      <w:bookmarkStart w:id="308" w:name="_Toc18524_WPSOffice_Level1"/>
      <w:bookmarkStart w:id="309" w:name="_Toc30191_WPSOffice_Level1"/>
      <w:bookmarkStart w:id="310" w:name="_Toc17630_WPSOffice_Level1"/>
      <w:r>
        <w:rPr>
          <w:rFonts w:hint="eastAsia" w:ascii="宋体" w:hAnsi="宋体"/>
          <w:b/>
          <w:sz w:val="32"/>
        </w:rPr>
        <w:t xml:space="preserve">第四部分  </w:t>
      </w:r>
      <w:bookmarkEnd w:id="305"/>
      <w:bookmarkEnd w:id="306"/>
      <w:bookmarkEnd w:id="307"/>
      <w:bookmarkStart w:id="311" w:name="_Toc293353783"/>
      <w:r>
        <w:rPr>
          <w:rFonts w:hint="eastAsia" w:ascii="宋体" w:hAnsi="宋体"/>
          <w:b/>
          <w:sz w:val="32"/>
        </w:rPr>
        <w:t>响应文件格式</w:t>
      </w:r>
      <w:bookmarkEnd w:id="308"/>
      <w:bookmarkEnd w:id="309"/>
      <w:bookmarkEnd w:id="310"/>
    </w:p>
    <w:p>
      <w:pPr>
        <w:ind w:firstLine="480"/>
        <w:jc w:val="center"/>
        <w:rPr>
          <w:rFonts w:ascii="仿宋" w:hAnsi="仿宋" w:eastAsia="仿宋"/>
        </w:rPr>
      </w:pPr>
    </w:p>
    <w:p>
      <w:pPr>
        <w:jc w:val="center"/>
        <w:rPr>
          <w:rFonts w:ascii="仿宋" w:hAnsi="仿宋" w:eastAsia="仿宋"/>
          <w:b/>
          <w:sz w:val="24"/>
          <w:szCs w:val="24"/>
        </w:rPr>
      </w:pPr>
      <w:bookmarkStart w:id="312" w:name="_Toc8614_WPSOffice_Level1"/>
      <w:bookmarkStart w:id="313" w:name="_Toc11120_WPSOffice_Level1"/>
      <w:bookmarkStart w:id="314" w:name="_Toc9275_WPSOffice_Level1"/>
      <w:bookmarkStart w:id="315" w:name="_Toc4478_WPSOffice_Level1"/>
      <w:r>
        <w:rPr>
          <w:rFonts w:hint="eastAsia" w:ascii="仿宋" w:hAnsi="仿宋" w:eastAsia="仿宋"/>
          <w:b/>
          <w:sz w:val="24"/>
          <w:szCs w:val="24"/>
        </w:rPr>
        <w:t>（本章格式文件可供参考，响应供应商可根据项目实际需求进行编制）</w:t>
      </w:r>
      <w:bookmarkEnd w:id="312"/>
      <w:bookmarkEnd w:id="313"/>
      <w:bookmarkEnd w:id="314"/>
      <w:bookmarkEnd w:id="315"/>
    </w:p>
    <w:p>
      <w:pPr>
        <w:pStyle w:val="29"/>
        <w:spacing w:line="360" w:lineRule="auto"/>
        <w:rPr>
          <w:rFonts w:hint="default" w:ascii="仿宋" w:hAnsi="仿宋" w:eastAsia="仿宋"/>
          <w:color w:val="auto"/>
        </w:rPr>
      </w:pPr>
    </w:p>
    <w:p>
      <w:pPr>
        <w:pStyle w:val="29"/>
        <w:spacing w:line="360" w:lineRule="auto"/>
        <w:jc w:val="center"/>
        <w:rPr>
          <w:rFonts w:hint="default" w:ascii="仿宋" w:hAnsi="仿宋" w:eastAsia="仿宋"/>
          <w:color w:val="auto"/>
          <w:sz w:val="32"/>
          <w:szCs w:val="32"/>
        </w:rPr>
      </w:pPr>
      <w:bookmarkStart w:id="316" w:name="_Toc12402_WPSOffice_Level1"/>
      <w:bookmarkStart w:id="317" w:name="_Toc19991_WPSOffice_Level1"/>
      <w:bookmarkStart w:id="318" w:name="_Toc6722_WPSOffice_Level1"/>
      <w:bookmarkStart w:id="319" w:name="_Toc6005_WPSOffice_Level1"/>
      <w:r>
        <w:rPr>
          <w:rFonts w:ascii="仿宋" w:hAnsi="仿宋" w:eastAsia="仿宋"/>
          <w:color w:val="auto"/>
          <w:sz w:val="32"/>
          <w:szCs w:val="32"/>
        </w:rPr>
        <w:t>（封面）</w:t>
      </w:r>
      <w:bookmarkEnd w:id="316"/>
      <w:bookmarkEnd w:id="317"/>
      <w:bookmarkEnd w:id="318"/>
      <w:bookmarkEnd w:id="319"/>
    </w:p>
    <w:p>
      <w:pPr>
        <w:ind w:firstLine="1446"/>
        <w:jc w:val="center"/>
        <w:rPr>
          <w:rFonts w:ascii="仿宋" w:hAnsi="仿宋" w:eastAsia="仿宋"/>
          <w:b/>
          <w:sz w:val="72"/>
        </w:rPr>
      </w:pPr>
    </w:p>
    <w:p>
      <w:pPr>
        <w:jc w:val="center"/>
        <w:rPr>
          <w:rFonts w:ascii="仿宋" w:hAnsi="仿宋" w:eastAsia="仿宋"/>
          <w:b/>
          <w:sz w:val="72"/>
        </w:rPr>
      </w:pPr>
      <w:bookmarkStart w:id="320" w:name="_Toc9459_WPSOffice_Level1"/>
      <w:bookmarkStart w:id="321" w:name="_Toc27106_WPSOffice_Level1"/>
      <w:bookmarkStart w:id="322" w:name="_Toc4565_WPSOffice_Level1"/>
      <w:bookmarkStart w:id="323" w:name="_Toc31001_WPSOffice_Level1"/>
      <w:r>
        <w:rPr>
          <w:rFonts w:hint="eastAsia" w:ascii="仿宋" w:hAnsi="仿宋" w:eastAsia="仿宋"/>
          <w:b/>
          <w:sz w:val="72"/>
        </w:rPr>
        <w:t>响  应  文  件</w:t>
      </w:r>
      <w:bookmarkEnd w:id="320"/>
      <w:bookmarkEnd w:id="321"/>
      <w:bookmarkEnd w:id="322"/>
      <w:bookmarkEnd w:id="323"/>
    </w:p>
    <w:p>
      <w:pPr>
        <w:ind w:firstLine="723"/>
        <w:rPr>
          <w:rFonts w:ascii="仿宋" w:hAnsi="仿宋" w:eastAsia="仿宋"/>
          <w:b/>
          <w:sz w:val="36"/>
        </w:rPr>
      </w:pPr>
    </w:p>
    <w:p>
      <w:pPr>
        <w:ind w:left="2512" w:hanging="2512" w:hangingChars="695"/>
        <w:jc w:val="left"/>
        <w:rPr>
          <w:rFonts w:ascii="仿宋" w:hAnsi="仿宋" w:eastAsia="仿宋"/>
          <w:b/>
          <w:sz w:val="36"/>
        </w:rPr>
      </w:pPr>
      <w:bookmarkStart w:id="324" w:name="_Toc2723_WPSOffice_Level1"/>
      <w:bookmarkStart w:id="325" w:name="_Toc30484_WPSOffice_Level1"/>
      <w:bookmarkStart w:id="326" w:name="_Toc5096_WPSOffice_Level1"/>
      <w:bookmarkStart w:id="327" w:name="_Toc31002_WPSOffice_Level1"/>
      <w:r>
        <w:rPr>
          <w:rFonts w:hint="eastAsia" w:ascii="仿宋" w:hAnsi="仿宋" w:eastAsia="仿宋"/>
          <w:b/>
          <w:sz w:val="36"/>
        </w:rPr>
        <w:t>项 目 名 称：</w:t>
      </w:r>
      <w:bookmarkEnd w:id="324"/>
      <w:bookmarkEnd w:id="325"/>
      <w:bookmarkEnd w:id="326"/>
      <w:bookmarkEnd w:id="327"/>
      <w:r>
        <w:rPr>
          <w:rFonts w:hint="eastAsia" w:ascii="仿宋" w:hAnsi="仿宋" w:eastAsia="仿宋"/>
          <w:b/>
          <w:sz w:val="36"/>
        </w:rPr>
        <w:t>思明控股集团员工职涯体系、薪酬体系、绩效与激励办法咨询项目</w:t>
      </w:r>
    </w:p>
    <w:p>
      <w:pPr>
        <w:jc w:val="left"/>
        <w:rPr>
          <w:rFonts w:ascii="仿宋" w:hAnsi="仿宋" w:eastAsia="仿宋"/>
          <w:b/>
          <w:sz w:val="36"/>
        </w:rPr>
      </w:pPr>
      <w:bookmarkStart w:id="328" w:name="_Toc22562_WPSOffice_Level1"/>
      <w:bookmarkStart w:id="329" w:name="_Toc27637_WPSOffice_Level1"/>
      <w:bookmarkStart w:id="330" w:name="_Toc25910_WPSOffice_Level1"/>
      <w:bookmarkStart w:id="331" w:name="_Toc12703_WPSOffice_Level1"/>
      <w:r>
        <w:rPr>
          <w:rFonts w:hint="eastAsia" w:ascii="仿宋" w:hAnsi="仿宋" w:eastAsia="仿宋"/>
          <w:b/>
          <w:sz w:val="36"/>
        </w:rPr>
        <w:t>响应供应商名称 ：</w:t>
      </w:r>
      <w:bookmarkEnd w:id="328"/>
      <w:bookmarkEnd w:id="329"/>
      <w:bookmarkEnd w:id="330"/>
      <w:bookmarkEnd w:id="331"/>
    </w:p>
    <w:p>
      <w:pPr>
        <w:jc w:val="left"/>
        <w:rPr>
          <w:rFonts w:ascii="仿宋" w:hAnsi="仿宋" w:eastAsia="仿宋"/>
          <w:b/>
          <w:sz w:val="36"/>
        </w:rPr>
      </w:pPr>
      <w:bookmarkStart w:id="332" w:name="_Toc9022_WPSOffice_Level1"/>
      <w:bookmarkStart w:id="333" w:name="_Toc11643_WPSOffice_Level1"/>
      <w:bookmarkStart w:id="334" w:name="_Toc9570_WPSOffice_Level1"/>
      <w:bookmarkStart w:id="335" w:name="_Toc30652_WPSOffice_Level1"/>
      <w:r>
        <w:rPr>
          <w:rFonts w:hint="eastAsia" w:ascii="仿宋" w:hAnsi="仿宋" w:eastAsia="仿宋"/>
          <w:b/>
          <w:sz w:val="36"/>
        </w:rPr>
        <w:t>日      期 ：</w:t>
      </w:r>
      <w:bookmarkEnd w:id="332"/>
      <w:bookmarkEnd w:id="333"/>
      <w:bookmarkEnd w:id="334"/>
      <w:bookmarkEnd w:id="335"/>
    </w:p>
    <w:p>
      <w:pPr>
        <w:pStyle w:val="55"/>
        <w:spacing w:line="360" w:lineRule="auto"/>
        <w:jc w:val="left"/>
        <w:rPr>
          <w:rFonts w:ascii="仿宋" w:hAnsi="仿宋" w:eastAsia="仿宋"/>
          <w:b/>
          <w:sz w:val="24"/>
        </w:rPr>
      </w:pPr>
    </w:p>
    <w:p>
      <w:pPr>
        <w:pStyle w:val="55"/>
        <w:spacing w:line="360" w:lineRule="auto"/>
        <w:jc w:val="left"/>
        <w:rPr>
          <w:rFonts w:ascii="仿宋" w:hAnsi="仿宋" w:eastAsia="仿宋"/>
          <w:b/>
          <w:sz w:val="24"/>
        </w:rPr>
      </w:pPr>
    </w:p>
    <w:p>
      <w:pPr>
        <w:pStyle w:val="5"/>
        <w:snapToGrid w:val="0"/>
        <w:spacing w:line="360" w:lineRule="auto"/>
        <w:ind w:firstLine="0"/>
        <w:rPr>
          <w:rFonts w:ascii="仿宋" w:hAnsi="仿宋" w:eastAsia="仿宋"/>
          <w:b/>
          <w:bCs/>
          <w:sz w:val="32"/>
        </w:rPr>
      </w:pPr>
    </w:p>
    <w:p>
      <w:pPr>
        <w:pStyle w:val="5"/>
        <w:snapToGrid w:val="0"/>
        <w:spacing w:line="360" w:lineRule="auto"/>
        <w:rPr>
          <w:rFonts w:ascii="仿宋_GB2312" w:hAnsi="仿宋_GB2312" w:eastAsia="仿宋_GB2312" w:cs="仿宋_GB2312"/>
          <w:sz w:val="32"/>
          <w:szCs w:val="32"/>
          <w:lang w:val="en-US"/>
        </w:rPr>
      </w:pPr>
    </w:p>
    <w:p>
      <w:pPr>
        <w:pStyle w:val="5"/>
        <w:snapToGrid w:val="0"/>
        <w:spacing w:line="360" w:lineRule="auto"/>
        <w:rPr>
          <w:rFonts w:ascii="仿宋_GB2312" w:hAnsi="仿宋_GB2312" w:eastAsia="仿宋_GB2312" w:cs="仿宋_GB2312"/>
          <w:sz w:val="32"/>
          <w:szCs w:val="32"/>
          <w:lang w:val="en-US"/>
        </w:rPr>
      </w:pPr>
    </w:p>
    <w:p>
      <w:pPr>
        <w:pStyle w:val="5"/>
        <w:snapToGrid w:val="0"/>
        <w:spacing w:line="360" w:lineRule="auto"/>
        <w:rPr>
          <w:rFonts w:ascii="仿宋_GB2312" w:hAnsi="仿宋_GB2312" w:eastAsia="仿宋_GB2312" w:cs="仿宋_GB2312"/>
          <w:sz w:val="32"/>
          <w:szCs w:val="32"/>
          <w:lang w:val="en-US"/>
        </w:rPr>
      </w:pPr>
    </w:p>
    <w:p>
      <w:pPr>
        <w:pStyle w:val="5"/>
        <w:snapToGrid w:val="0"/>
        <w:spacing w:line="360" w:lineRule="auto"/>
        <w:rPr>
          <w:rFonts w:ascii="仿宋_GB2312" w:hAnsi="仿宋_GB2312" w:eastAsia="仿宋_GB2312" w:cs="仿宋_GB2312"/>
          <w:sz w:val="32"/>
          <w:szCs w:val="32"/>
          <w:lang w:val="en-US"/>
        </w:rPr>
      </w:pPr>
    </w:p>
    <w:p>
      <w:pPr>
        <w:pStyle w:val="5"/>
        <w:snapToGrid w:val="0"/>
        <w:spacing w:line="360" w:lineRule="auto"/>
        <w:rPr>
          <w:rFonts w:ascii="仿宋_GB2312" w:hAnsi="仿宋_GB2312" w:eastAsia="仿宋_GB2312" w:cs="仿宋_GB2312"/>
          <w:sz w:val="32"/>
          <w:szCs w:val="32"/>
          <w:lang w:val="en-US"/>
        </w:rPr>
      </w:pPr>
    </w:p>
    <w:p>
      <w:pPr>
        <w:pStyle w:val="5"/>
        <w:snapToGrid w:val="0"/>
        <w:spacing w:line="360" w:lineRule="auto"/>
        <w:ind w:firstLine="0"/>
        <w:rPr>
          <w:rFonts w:ascii="仿宋_GB2312" w:hAnsi="仿宋_GB2312" w:eastAsia="仿宋_GB2312" w:cs="仿宋_GB2312"/>
          <w:sz w:val="32"/>
          <w:szCs w:val="32"/>
          <w:lang w:val="en-US"/>
        </w:rPr>
      </w:pPr>
    </w:p>
    <w:p>
      <w:pPr>
        <w:pStyle w:val="5"/>
        <w:snapToGrid w:val="0"/>
        <w:spacing w:line="500" w:lineRule="exact"/>
        <w:ind w:firstLine="3855" w:firstLineChars="1200"/>
        <w:rPr>
          <w:rFonts w:ascii="仿宋_GB2312" w:hAnsi="仿宋_GB2312" w:eastAsia="仿宋_GB2312" w:cs="仿宋_GB2312"/>
          <w:b/>
          <w:bCs/>
          <w:sz w:val="32"/>
          <w:szCs w:val="32"/>
          <w:lang w:val="en-US"/>
        </w:rPr>
      </w:pPr>
      <w:bookmarkStart w:id="336" w:name="_Toc29093_WPSOffice_Level1"/>
      <w:bookmarkStart w:id="337" w:name="_Toc12449_WPSOffice_Level1"/>
      <w:bookmarkStart w:id="338" w:name="_Toc28799_WPSOffice_Level1"/>
      <w:bookmarkStart w:id="339" w:name="_Toc10092_WPSOffice_Level1"/>
      <w:r>
        <w:rPr>
          <w:rFonts w:hint="eastAsia" w:ascii="仿宋_GB2312" w:hAnsi="仿宋_GB2312" w:eastAsia="仿宋_GB2312" w:cs="仿宋_GB2312"/>
          <w:b/>
          <w:bCs/>
          <w:sz w:val="32"/>
          <w:szCs w:val="32"/>
          <w:lang w:val="en-US"/>
        </w:rPr>
        <w:t>目    录</w:t>
      </w:r>
      <w:bookmarkEnd w:id="336"/>
      <w:bookmarkEnd w:id="337"/>
      <w:bookmarkEnd w:id="338"/>
      <w:bookmarkEnd w:id="339"/>
    </w:p>
    <w:p>
      <w:pPr>
        <w:spacing w:line="700" w:lineRule="exact"/>
        <w:ind w:firstLine="640"/>
        <w:rPr>
          <w:rFonts w:ascii="仿宋_GB2312" w:hAnsi="仿宋_GB2312" w:eastAsia="仿宋_GB2312" w:cs="仿宋_GB2312"/>
          <w:sz w:val="24"/>
          <w:szCs w:val="24"/>
        </w:rPr>
      </w:pPr>
    </w:p>
    <w:p>
      <w:pPr>
        <w:pStyle w:val="32"/>
        <w:widowControl w:val="0"/>
        <w:spacing w:line="560" w:lineRule="exact"/>
        <w:ind w:left="480" w:firstLine="0" w:firstLineChars="0"/>
        <w:rPr>
          <w:rFonts w:ascii="仿宋" w:hAnsi="仿宋" w:eastAsia="仿宋" w:cs="仿宋"/>
          <w:szCs w:val="24"/>
        </w:rPr>
      </w:pPr>
      <w:bookmarkStart w:id="340" w:name="_Toc10782_WPSOffice_Level1"/>
      <w:bookmarkStart w:id="341" w:name="_Toc11506_WPSOffice_Level1"/>
      <w:bookmarkStart w:id="342" w:name="_Toc7999_WPSOffice_Level1"/>
      <w:bookmarkStart w:id="343" w:name="_Toc10884_WPSOffice_Level1"/>
      <w:r>
        <w:rPr>
          <w:rFonts w:hint="eastAsia" w:ascii="仿宋" w:hAnsi="仿宋" w:eastAsia="仿宋" w:cs="仿宋"/>
          <w:szCs w:val="24"/>
        </w:rPr>
        <w:t>1.响应一览表</w:t>
      </w:r>
      <w:bookmarkEnd w:id="340"/>
      <w:bookmarkEnd w:id="341"/>
      <w:bookmarkEnd w:id="342"/>
      <w:bookmarkEnd w:id="343"/>
      <w:bookmarkStart w:id="344" w:name="_Toc11549_WPSOffice_Level1"/>
      <w:bookmarkStart w:id="345" w:name="_Toc18295_WPSOffice_Level1"/>
      <w:bookmarkStart w:id="346" w:name="_Toc14815_WPSOffice_Level1"/>
    </w:p>
    <w:p>
      <w:pPr>
        <w:pStyle w:val="32"/>
        <w:widowControl w:val="0"/>
        <w:spacing w:line="560" w:lineRule="exact"/>
        <w:ind w:left="480" w:firstLine="0" w:firstLineChars="0"/>
        <w:rPr>
          <w:rFonts w:ascii="仿宋" w:hAnsi="仿宋" w:eastAsia="仿宋" w:cs="仿宋"/>
          <w:szCs w:val="24"/>
        </w:rPr>
      </w:pPr>
      <w:bookmarkStart w:id="347" w:name="_Toc20466_WPSOffice_Level1"/>
      <w:r>
        <w:rPr>
          <w:rFonts w:hint="eastAsia" w:ascii="仿宋" w:hAnsi="仿宋" w:eastAsia="仿宋" w:cs="仿宋"/>
          <w:szCs w:val="24"/>
        </w:rPr>
        <w:t>2.法定代表人资格证明书</w:t>
      </w:r>
      <w:bookmarkEnd w:id="344"/>
      <w:bookmarkEnd w:id="345"/>
      <w:bookmarkEnd w:id="346"/>
      <w:bookmarkEnd w:id="347"/>
      <w:bookmarkStart w:id="348" w:name="_Toc23599_WPSOffice_Level1"/>
      <w:bookmarkStart w:id="349" w:name="_Toc577_WPSOffice_Level1"/>
      <w:bookmarkStart w:id="350" w:name="_Toc25879_WPSOffice_Level1"/>
    </w:p>
    <w:p>
      <w:pPr>
        <w:pStyle w:val="32"/>
        <w:widowControl w:val="0"/>
        <w:spacing w:line="560" w:lineRule="exact"/>
        <w:ind w:left="480" w:firstLine="0" w:firstLineChars="0"/>
        <w:rPr>
          <w:rFonts w:ascii="仿宋" w:hAnsi="仿宋" w:eastAsia="仿宋" w:cs="仿宋"/>
          <w:szCs w:val="24"/>
        </w:rPr>
      </w:pPr>
      <w:bookmarkStart w:id="351" w:name="_Toc14404_WPSOffice_Level1"/>
      <w:r>
        <w:rPr>
          <w:rFonts w:hint="eastAsia" w:ascii="仿宋" w:hAnsi="仿宋" w:eastAsia="仿宋" w:cs="仿宋"/>
          <w:szCs w:val="24"/>
        </w:rPr>
        <w:t>3.法定代表人授权委托书</w:t>
      </w:r>
      <w:bookmarkEnd w:id="348"/>
      <w:bookmarkEnd w:id="349"/>
      <w:bookmarkEnd w:id="350"/>
      <w:bookmarkEnd w:id="351"/>
      <w:bookmarkStart w:id="352" w:name="_Toc23268_WPSOffice_Level1"/>
      <w:bookmarkStart w:id="353" w:name="_Toc519_WPSOffice_Level1"/>
      <w:bookmarkStart w:id="354" w:name="_Toc7069_WPSOffice_Level1"/>
    </w:p>
    <w:p>
      <w:pPr>
        <w:pStyle w:val="32"/>
        <w:widowControl w:val="0"/>
        <w:spacing w:line="560" w:lineRule="exact"/>
        <w:ind w:left="480" w:firstLine="0" w:firstLineChars="0"/>
        <w:rPr>
          <w:rFonts w:ascii="仿宋" w:hAnsi="仿宋" w:eastAsia="仿宋" w:cs="仿宋"/>
          <w:szCs w:val="24"/>
        </w:rPr>
      </w:pPr>
      <w:bookmarkStart w:id="355" w:name="_Toc32711_WPSOffice_Level1"/>
      <w:r>
        <w:rPr>
          <w:rFonts w:hint="eastAsia" w:ascii="仿宋" w:hAnsi="仿宋" w:eastAsia="仿宋" w:cs="仿宋"/>
          <w:szCs w:val="24"/>
        </w:rPr>
        <w:t>4.响应单位的资质证明材料</w:t>
      </w:r>
      <w:bookmarkEnd w:id="352"/>
      <w:bookmarkEnd w:id="353"/>
      <w:bookmarkEnd w:id="354"/>
      <w:bookmarkEnd w:id="355"/>
    </w:p>
    <w:p>
      <w:pPr>
        <w:pStyle w:val="32"/>
        <w:widowControl w:val="0"/>
        <w:spacing w:line="560" w:lineRule="exact"/>
        <w:ind w:left="480" w:firstLine="0" w:firstLineChars="0"/>
        <w:rPr>
          <w:rFonts w:ascii="仿宋" w:hAnsi="仿宋" w:eastAsia="仿宋" w:cs="仿宋"/>
          <w:szCs w:val="24"/>
        </w:rPr>
      </w:pPr>
      <w:bookmarkStart w:id="356" w:name="_Toc4125_WPSOffice_Level1"/>
      <w:bookmarkStart w:id="357" w:name="_Toc26449_WPSOffice_Level1"/>
      <w:bookmarkStart w:id="358" w:name="_Toc14647_WPSOffice_Level1"/>
      <w:bookmarkStart w:id="359" w:name="_Toc2692_WPSOffice_Level1"/>
      <w:r>
        <w:rPr>
          <w:rFonts w:hint="eastAsia" w:ascii="仿宋" w:hAnsi="仿宋" w:eastAsia="仿宋" w:cs="仿宋"/>
          <w:szCs w:val="24"/>
        </w:rPr>
        <w:t>5.廉洁诚信承诺书</w:t>
      </w:r>
      <w:bookmarkEnd w:id="356"/>
      <w:bookmarkEnd w:id="357"/>
      <w:bookmarkEnd w:id="358"/>
      <w:bookmarkEnd w:id="359"/>
      <w:bookmarkStart w:id="360" w:name="_Toc21592_WPSOffice_Level1"/>
      <w:bookmarkStart w:id="361" w:name="_Toc13591_WPSOffice_Level1"/>
      <w:bookmarkStart w:id="362" w:name="_Toc7695_WPSOffice_Level1"/>
    </w:p>
    <w:p>
      <w:pPr>
        <w:pStyle w:val="32"/>
        <w:widowControl w:val="0"/>
        <w:spacing w:line="560" w:lineRule="exact"/>
        <w:ind w:left="480" w:firstLine="0" w:firstLineChars="0"/>
        <w:rPr>
          <w:rFonts w:ascii="仿宋" w:hAnsi="仿宋" w:eastAsia="仿宋" w:cs="仿宋"/>
          <w:szCs w:val="24"/>
        </w:rPr>
      </w:pPr>
      <w:bookmarkStart w:id="363" w:name="_Toc24173_WPSOffice_Level1"/>
      <w:r>
        <w:rPr>
          <w:rFonts w:hint="eastAsia" w:ascii="仿宋" w:hAnsi="仿宋" w:eastAsia="仿宋" w:cs="仿宋"/>
          <w:szCs w:val="24"/>
        </w:rPr>
        <w:t>6.售后服务承诺函</w:t>
      </w:r>
      <w:bookmarkEnd w:id="360"/>
      <w:bookmarkEnd w:id="361"/>
      <w:bookmarkEnd w:id="362"/>
      <w:bookmarkEnd w:id="363"/>
    </w:p>
    <w:p>
      <w:pPr>
        <w:widowControl w:val="0"/>
        <w:spacing w:line="560" w:lineRule="exact"/>
        <w:ind w:firstLine="420" w:firstLineChars="200"/>
        <w:rPr>
          <w:rFonts w:ascii="仿宋" w:hAnsi="仿宋" w:eastAsia="仿宋" w:cs="仿宋"/>
          <w:szCs w:val="24"/>
        </w:rPr>
      </w:pPr>
      <w:bookmarkStart w:id="364" w:name="_Toc18608_WPSOffice_Level1"/>
      <w:bookmarkStart w:id="365" w:name="_Toc20573_WPSOffice_Level1"/>
      <w:bookmarkStart w:id="366" w:name="_Toc32385_WPSOffice_Level1"/>
      <w:bookmarkStart w:id="367" w:name="_Toc7847_WPSOffice_Level1"/>
      <w:r>
        <w:rPr>
          <w:rFonts w:hint="eastAsia" w:ascii="仿宋" w:hAnsi="仿宋" w:eastAsia="仿宋" w:cs="仿宋"/>
          <w:szCs w:val="24"/>
        </w:rPr>
        <w:t>7.项目解决方案</w:t>
      </w:r>
      <w:bookmarkEnd w:id="364"/>
      <w:bookmarkEnd w:id="365"/>
      <w:bookmarkEnd w:id="366"/>
      <w:bookmarkEnd w:id="367"/>
    </w:p>
    <w:p>
      <w:pPr>
        <w:widowControl w:val="0"/>
        <w:spacing w:line="560" w:lineRule="exact"/>
        <w:ind w:firstLine="420" w:firstLineChars="200"/>
        <w:rPr>
          <w:rFonts w:ascii="仿宋" w:hAnsi="仿宋" w:eastAsia="仿宋" w:cs="仿宋"/>
          <w:szCs w:val="24"/>
        </w:rPr>
      </w:pPr>
      <w:r>
        <w:rPr>
          <w:rFonts w:hint="eastAsia" w:ascii="仿宋" w:hAnsi="仿宋" w:eastAsia="仿宋" w:cs="仿宋"/>
          <w:szCs w:val="24"/>
        </w:rPr>
        <w:t>……</w:t>
      </w:r>
    </w:p>
    <w:p>
      <w:pPr>
        <w:spacing w:line="440" w:lineRule="exact"/>
        <w:ind w:firstLine="643"/>
        <w:rPr>
          <w:rFonts w:ascii="仿宋" w:hAnsi="仿宋" w:eastAsia="仿宋"/>
          <w:b/>
          <w:sz w:val="32"/>
          <w:szCs w:val="32"/>
        </w:rPr>
      </w:pPr>
    </w:p>
    <w:p>
      <w:pPr>
        <w:spacing w:line="440" w:lineRule="exact"/>
        <w:ind w:firstLine="643"/>
        <w:rPr>
          <w:rFonts w:ascii="仿宋" w:hAnsi="仿宋" w:eastAsia="仿宋"/>
          <w:b/>
          <w:sz w:val="32"/>
          <w:szCs w:val="32"/>
        </w:rPr>
      </w:pPr>
    </w:p>
    <w:p>
      <w:pPr>
        <w:spacing w:line="440" w:lineRule="exact"/>
        <w:ind w:firstLine="482" w:firstLineChars="200"/>
        <w:rPr>
          <w:rFonts w:ascii="仿宋" w:hAnsi="仿宋" w:eastAsia="仿宋"/>
          <w:b/>
          <w:sz w:val="24"/>
          <w:szCs w:val="24"/>
        </w:rPr>
      </w:pPr>
      <w:bookmarkStart w:id="368" w:name="_Toc8776_WPSOffice_Level1"/>
      <w:bookmarkStart w:id="369" w:name="_Toc17904_WPSOffice_Level1"/>
      <w:bookmarkStart w:id="370" w:name="_Toc25863_WPSOffice_Level1"/>
      <w:bookmarkStart w:id="371" w:name="_Toc18158_WPSOffice_Level1"/>
      <w:r>
        <w:rPr>
          <w:rFonts w:ascii="仿宋" w:hAnsi="仿宋" w:eastAsia="仿宋"/>
          <w:b/>
          <w:sz w:val="24"/>
          <w:szCs w:val="24"/>
        </w:rPr>
        <w:t>说明：</w:t>
      </w:r>
      <w:r>
        <w:rPr>
          <w:rFonts w:hint="eastAsia" w:ascii="仿宋" w:hAnsi="仿宋" w:eastAsia="仿宋"/>
          <w:b/>
          <w:sz w:val="24"/>
          <w:szCs w:val="24"/>
        </w:rPr>
        <w:t>响应供应商</w:t>
      </w:r>
      <w:r>
        <w:rPr>
          <w:rFonts w:ascii="仿宋" w:hAnsi="仿宋" w:eastAsia="仿宋"/>
          <w:b/>
          <w:sz w:val="24"/>
          <w:szCs w:val="24"/>
        </w:rPr>
        <w:t>应按</w:t>
      </w:r>
      <w:r>
        <w:rPr>
          <w:rFonts w:hint="eastAsia" w:ascii="仿宋" w:hAnsi="仿宋" w:eastAsia="仿宋"/>
          <w:b/>
          <w:sz w:val="24"/>
          <w:szCs w:val="24"/>
        </w:rPr>
        <w:t>响应</w:t>
      </w:r>
      <w:r>
        <w:rPr>
          <w:rFonts w:ascii="仿宋" w:hAnsi="仿宋" w:eastAsia="仿宋"/>
          <w:b/>
          <w:sz w:val="24"/>
          <w:szCs w:val="24"/>
        </w:rPr>
        <w:t>文件的实际情况编制目录</w:t>
      </w:r>
      <w:bookmarkEnd w:id="368"/>
      <w:bookmarkEnd w:id="369"/>
      <w:bookmarkEnd w:id="370"/>
      <w:bookmarkEnd w:id="371"/>
    </w:p>
    <w:p>
      <w:pPr>
        <w:spacing w:line="440" w:lineRule="exact"/>
        <w:ind w:firstLine="643"/>
        <w:rPr>
          <w:rFonts w:ascii="仿宋" w:hAnsi="仿宋" w:eastAsia="仿宋"/>
          <w:b/>
          <w:sz w:val="32"/>
          <w:szCs w:val="32"/>
        </w:rPr>
      </w:pPr>
    </w:p>
    <w:p>
      <w:pPr>
        <w:spacing w:line="440" w:lineRule="exact"/>
        <w:ind w:firstLine="643"/>
        <w:rPr>
          <w:rFonts w:ascii="仿宋" w:hAnsi="仿宋" w:eastAsia="仿宋"/>
          <w:b/>
          <w:sz w:val="32"/>
          <w:szCs w:val="32"/>
        </w:rPr>
      </w:pPr>
    </w:p>
    <w:p>
      <w:pPr>
        <w:spacing w:line="500" w:lineRule="exact"/>
        <w:rPr>
          <w:rFonts w:ascii="宋体" w:hAnsi="宋体"/>
          <w:b/>
          <w:sz w:val="24"/>
          <w:szCs w:val="24"/>
        </w:rPr>
      </w:pPr>
    </w:p>
    <w:p>
      <w:pPr>
        <w:spacing w:line="500" w:lineRule="exact"/>
        <w:rPr>
          <w:rFonts w:ascii="宋体" w:hAnsi="宋体"/>
          <w:b/>
          <w:sz w:val="24"/>
          <w:szCs w:val="24"/>
        </w:rPr>
      </w:pPr>
    </w:p>
    <w:p>
      <w:pPr>
        <w:spacing w:line="500" w:lineRule="exact"/>
        <w:rPr>
          <w:rFonts w:ascii="宋体" w:hAnsi="宋体"/>
          <w:b/>
          <w:sz w:val="24"/>
          <w:szCs w:val="24"/>
        </w:rPr>
      </w:pPr>
    </w:p>
    <w:p>
      <w:pPr>
        <w:spacing w:line="500" w:lineRule="exact"/>
        <w:rPr>
          <w:rFonts w:ascii="宋体" w:hAnsi="宋体"/>
          <w:b/>
          <w:sz w:val="24"/>
          <w:szCs w:val="24"/>
        </w:rPr>
      </w:pPr>
    </w:p>
    <w:p>
      <w:pPr>
        <w:spacing w:line="500" w:lineRule="exact"/>
        <w:rPr>
          <w:rFonts w:ascii="宋体" w:hAnsi="宋体"/>
          <w:b/>
          <w:sz w:val="24"/>
          <w:szCs w:val="24"/>
        </w:rPr>
      </w:pPr>
    </w:p>
    <w:p>
      <w:pPr>
        <w:spacing w:line="500" w:lineRule="exact"/>
        <w:rPr>
          <w:rFonts w:ascii="宋体" w:hAnsi="宋体"/>
          <w:b/>
          <w:sz w:val="24"/>
          <w:szCs w:val="24"/>
        </w:rPr>
      </w:pPr>
    </w:p>
    <w:p>
      <w:pPr>
        <w:pStyle w:val="2"/>
        <w:rPr>
          <w:rFonts w:ascii="宋体" w:hAnsi="宋体"/>
          <w:b/>
          <w:sz w:val="24"/>
          <w:szCs w:val="24"/>
        </w:rPr>
      </w:pPr>
    </w:p>
    <w:p>
      <w:pPr>
        <w:pStyle w:val="2"/>
        <w:rPr>
          <w:rFonts w:ascii="宋体" w:hAnsi="宋体"/>
          <w:b/>
          <w:sz w:val="24"/>
          <w:szCs w:val="24"/>
        </w:rPr>
      </w:pPr>
    </w:p>
    <w:p>
      <w:pPr>
        <w:spacing w:line="500" w:lineRule="exact"/>
        <w:rPr>
          <w:rFonts w:ascii="宋体" w:hAnsi="宋体"/>
          <w:b/>
          <w:sz w:val="24"/>
          <w:szCs w:val="24"/>
        </w:rPr>
      </w:pPr>
    </w:p>
    <w:p>
      <w:pPr>
        <w:spacing w:line="500" w:lineRule="exact"/>
        <w:rPr>
          <w:rFonts w:ascii="宋体" w:hAnsi="宋体"/>
          <w:b/>
          <w:sz w:val="24"/>
          <w:szCs w:val="24"/>
        </w:rPr>
      </w:pPr>
    </w:p>
    <w:p>
      <w:pPr>
        <w:pStyle w:val="2"/>
      </w:pPr>
    </w:p>
    <w:p>
      <w:pPr>
        <w:pStyle w:val="2"/>
      </w:pPr>
    </w:p>
    <w:p>
      <w:pPr>
        <w:spacing w:line="500" w:lineRule="exact"/>
        <w:rPr>
          <w:rFonts w:ascii="宋体" w:hAnsi="宋体"/>
          <w:b/>
          <w:sz w:val="24"/>
          <w:szCs w:val="24"/>
        </w:rPr>
      </w:pPr>
      <w:bookmarkEnd w:id="311"/>
    </w:p>
    <w:p>
      <w:pPr>
        <w:pStyle w:val="46"/>
        <w:spacing w:before="312" w:after="156"/>
        <w:ind w:left="0" w:firstLine="0"/>
      </w:pPr>
      <w:bookmarkStart w:id="372" w:name="_Toc25755_WPSOffice_Level1"/>
      <w:bookmarkStart w:id="373" w:name="_Toc7127_WPSOffice_Level1"/>
      <w:bookmarkStart w:id="374" w:name="_Toc20932_WPSOffice_Level1"/>
      <w:bookmarkStart w:id="375" w:name="_Toc9407_WPSOffice_Level1"/>
      <w:bookmarkStart w:id="376" w:name="_Toc3911_WPSOffice_Level1"/>
      <w:bookmarkStart w:id="377" w:name="_Toc17501"/>
      <w:r>
        <w:rPr>
          <w:rFonts w:hint="eastAsia"/>
        </w:rPr>
        <w:t>格式一：响应一览表</w:t>
      </w:r>
      <w:bookmarkEnd w:id="372"/>
      <w:bookmarkEnd w:id="373"/>
      <w:bookmarkEnd w:id="374"/>
      <w:bookmarkEnd w:id="375"/>
      <w:bookmarkEnd w:id="376"/>
      <w:bookmarkEnd w:id="377"/>
      <w:bookmarkStart w:id="378" w:name="_Toc106527636"/>
    </w:p>
    <w:p>
      <w:pPr>
        <w:spacing w:line="500" w:lineRule="exact"/>
        <w:jc w:val="center"/>
        <w:rPr>
          <w:rFonts w:ascii="仿宋" w:hAnsi="仿宋" w:eastAsia="仿宋" w:cs="仿宋"/>
          <w:color w:val="000000"/>
          <w:szCs w:val="24"/>
        </w:rPr>
      </w:pPr>
      <w:bookmarkStart w:id="379" w:name="_Toc2692_WPSOffice_Level2"/>
      <w:bookmarkStart w:id="380" w:name="_Toc4125_WPSOffice_Level2"/>
      <w:bookmarkStart w:id="381" w:name="_Toc18295_WPSOffice_Level2"/>
      <w:bookmarkStart w:id="382" w:name="_Toc14647_WPSOffice_Level2"/>
      <w:r>
        <w:rPr>
          <w:rFonts w:hint="eastAsia" w:ascii="仿宋" w:hAnsi="仿宋" w:eastAsia="仿宋" w:cs="仿宋"/>
          <w:color w:val="000000"/>
          <w:szCs w:val="24"/>
        </w:rPr>
        <w:t>响应一览表</w:t>
      </w:r>
      <w:bookmarkEnd w:id="378"/>
      <w:bookmarkEnd w:id="379"/>
      <w:bookmarkEnd w:id="380"/>
      <w:bookmarkEnd w:id="381"/>
      <w:bookmarkEnd w:id="382"/>
    </w:p>
    <w:p>
      <w:pPr>
        <w:spacing w:line="560" w:lineRule="exact"/>
        <w:ind w:firstLine="480"/>
        <w:rPr>
          <w:rFonts w:ascii="仿宋" w:hAnsi="仿宋" w:eastAsia="仿宋" w:cs="仿宋"/>
          <w:color w:val="000000"/>
          <w:szCs w:val="24"/>
        </w:rPr>
      </w:pPr>
    </w:p>
    <w:p>
      <w:pPr>
        <w:spacing w:line="560" w:lineRule="exact"/>
        <w:rPr>
          <w:rFonts w:ascii="仿宋" w:hAnsi="仿宋" w:eastAsia="仿宋" w:cs="仿宋"/>
          <w:color w:val="000000"/>
          <w:szCs w:val="24"/>
        </w:rPr>
      </w:pPr>
      <w:r>
        <w:rPr>
          <w:rFonts w:hint="eastAsia" w:ascii="仿宋" w:hAnsi="仿宋" w:eastAsia="仿宋" w:cs="仿宋"/>
          <w:color w:val="000000"/>
          <w:szCs w:val="24"/>
        </w:rPr>
        <w:t>响应供应商名称：</w:t>
      </w:r>
    </w:p>
    <w:p>
      <w:pPr>
        <w:spacing w:line="560" w:lineRule="exact"/>
        <w:rPr>
          <w:rFonts w:ascii="仿宋" w:hAnsi="仿宋" w:eastAsia="仿宋" w:cs="仿宋"/>
          <w:color w:val="000000"/>
          <w:szCs w:val="24"/>
        </w:rPr>
      </w:pPr>
      <w:r>
        <w:rPr>
          <w:rFonts w:hint="eastAsia" w:ascii="仿宋" w:hAnsi="仿宋" w:eastAsia="仿宋" w:cs="仿宋"/>
          <w:color w:val="000000"/>
          <w:szCs w:val="24"/>
        </w:rPr>
        <w:t xml:space="preserve">货币单位：    </w:t>
      </w:r>
      <w:r>
        <w:rPr>
          <w:rFonts w:hint="eastAsia" w:ascii="仿宋" w:hAnsi="仿宋" w:eastAsia="仿宋" w:cs="仿宋"/>
          <w:color w:val="000000"/>
          <w:szCs w:val="24"/>
          <w:u w:val="single"/>
        </w:rPr>
        <w:t>元人民币</w:t>
      </w:r>
    </w:p>
    <w:tbl>
      <w:tblPr>
        <w:tblStyle w:val="28"/>
        <w:tblW w:w="84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68"/>
        <w:gridCol w:w="2411"/>
        <w:gridCol w:w="1854"/>
        <w:gridCol w:w="1171"/>
      </w:tblGrid>
      <w:tr>
        <w:trPr>
          <w:trHeight w:val="505" w:hRule="atLeast"/>
        </w:trPr>
        <w:tc>
          <w:tcPr>
            <w:tcW w:w="707" w:type="dxa"/>
            <w:vAlign w:val="center"/>
          </w:tcPr>
          <w:p>
            <w:pPr>
              <w:tabs>
                <w:tab w:val="left" w:pos="120"/>
                <w:tab w:val="left" w:pos="1800"/>
                <w:tab w:val="left" w:pos="3720"/>
                <w:tab w:val="left" w:pos="5880"/>
                <w:tab w:val="left" w:pos="7800"/>
              </w:tabs>
              <w:spacing w:line="560" w:lineRule="exact"/>
              <w:jc w:val="left"/>
              <w:rPr>
                <w:rFonts w:ascii="仿宋" w:hAnsi="仿宋" w:eastAsia="仿宋" w:cs="仿宋"/>
                <w:b/>
                <w:color w:val="000000"/>
                <w:szCs w:val="24"/>
              </w:rPr>
            </w:pPr>
            <w:r>
              <w:rPr>
                <w:rFonts w:hint="eastAsia" w:ascii="仿宋" w:hAnsi="仿宋" w:eastAsia="仿宋" w:cs="仿宋"/>
                <w:b/>
                <w:color w:val="000000"/>
                <w:szCs w:val="24"/>
              </w:rPr>
              <w:t>序号</w:t>
            </w:r>
          </w:p>
        </w:tc>
        <w:tc>
          <w:tcPr>
            <w:tcW w:w="2268" w:type="dxa"/>
            <w:vAlign w:val="center"/>
          </w:tcPr>
          <w:p>
            <w:pPr>
              <w:tabs>
                <w:tab w:val="left" w:pos="120"/>
                <w:tab w:val="left" w:pos="1800"/>
                <w:tab w:val="left" w:pos="3720"/>
                <w:tab w:val="left" w:pos="5880"/>
                <w:tab w:val="left" w:pos="7800"/>
              </w:tabs>
              <w:spacing w:line="560" w:lineRule="exact"/>
              <w:jc w:val="center"/>
              <w:rPr>
                <w:rFonts w:ascii="仿宋" w:hAnsi="仿宋" w:eastAsia="仿宋" w:cs="仿宋"/>
                <w:b/>
                <w:color w:val="000000"/>
                <w:szCs w:val="24"/>
              </w:rPr>
            </w:pPr>
            <w:r>
              <w:rPr>
                <w:rFonts w:hint="eastAsia" w:ascii="仿宋" w:hAnsi="仿宋" w:eastAsia="仿宋" w:cs="仿宋"/>
                <w:b/>
                <w:color w:val="000000"/>
                <w:szCs w:val="24"/>
              </w:rPr>
              <w:t>项目名称</w:t>
            </w:r>
          </w:p>
        </w:tc>
        <w:tc>
          <w:tcPr>
            <w:tcW w:w="2411" w:type="dxa"/>
            <w:vAlign w:val="center"/>
          </w:tcPr>
          <w:p>
            <w:pPr>
              <w:tabs>
                <w:tab w:val="left" w:pos="120"/>
                <w:tab w:val="left" w:pos="1800"/>
                <w:tab w:val="left" w:pos="3720"/>
                <w:tab w:val="left" w:pos="5880"/>
                <w:tab w:val="left" w:pos="7800"/>
              </w:tabs>
              <w:spacing w:line="560" w:lineRule="exact"/>
              <w:jc w:val="center"/>
              <w:rPr>
                <w:rFonts w:ascii="仿宋" w:hAnsi="仿宋" w:eastAsia="仿宋" w:cs="仿宋"/>
                <w:b/>
                <w:color w:val="000000"/>
                <w:szCs w:val="24"/>
              </w:rPr>
            </w:pPr>
            <w:r>
              <w:rPr>
                <w:rFonts w:hint="eastAsia" w:ascii="仿宋" w:hAnsi="仿宋" w:eastAsia="仿宋" w:cs="仿宋"/>
                <w:b/>
                <w:color w:val="000000"/>
                <w:szCs w:val="24"/>
              </w:rPr>
              <w:t>响应总价</w:t>
            </w:r>
          </w:p>
          <w:p>
            <w:pPr>
              <w:tabs>
                <w:tab w:val="left" w:pos="120"/>
                <w:tab w:val="left" w:pos="1800"/>
                <w:tab w:val="left" w:pos="3720"/>
                <w:tab w:val="left" w:pos="5880"/>
                <w:tab w:val="left" w:pos="7800"/>
              </w:tabs>
              <w:spacing w:line="560" w:lineRule="exact"/>
              <w:jc w:val="center"/>
              <w:rPr>
                <w:rFonts w:ascii="仿宋" w:hAnsi="仿宋" w:eastAsia="仿宋" w:cs="仿宋"/>
                <w:b/>
                <w:color w:val="000000"/>
                <w:szCs w:val="24"/>
              </w:rPr>
            </w:pPr>
            <w:r>
              <w:rPr>
                <w:rFonts w:hint="eastAsia" w:ascii="仿宋" w:hAnsi="仿宋" w:eastAsia="仿宋" w:cs="仿宋"/>
                <w:b/>
                <w:color w:val="000000"/>
                <w:szCs w:val="24"/>
              </w:rPr>
              <w:t>（含税价）</w:t>
            </w:r>
          </w:p>
        </w:tc>
        <w:tc>
          <w:tcPr>
            <w:tcW w:w="1854" w:type="dxa"/>
          </w:tcPr>
          <w:p>
            <w:pPr>
              <w:tabs>
                <w:tab w:val="left" w:pos="120"/>
                <w:tab w:val="left" w:pos="1800"/>
                <w:tab w:val="left" w:pos="3720"/>
                <w:tab w:val="left" w:pos="5880"/>
                <w:tab w:val="left" w:pos="7800"/>
              </w:tabs>
              <w:spacing w:line="560" w:lineRule="exact"/>
              <w:jc w:val="center"/>
              <w:rPr>
                <w:rFonts w:ascii="仿宋" w:hAnsi="仿宋" w:eastAsia="仿宋" w:cs="仿宋"/>
                <w:b/>
                <w:color w:val="000000"/>
                <w:szCs w:val="24"/>
              </w:rPr>
            </w:pPr>
            <w:r>
              <w:rPr>
                <w:rFonts w:hint="eastAsia" w:ascii="仿宋" w:hAnsi="仿宋" w:eastAsia="仿宋" w:cs="仿宋"/>
                <w:b/>
                <w:color w:val="000000"/>
                <w:szCs w:val="24"/>
              </w:rPr>
              <w:t>项目进度</w:t>
            </w:r>
          </w:p>
        </w:tc>
        <w:tc>
          <w:tcPr>
            <w:tcW w:w="1171" w:type="dxa"/>
            <w:vAlign w:val="center"/>
          </w:tcPr>
          <w:p>
            <w:pPr>
              <w:tabs>
                <w:tab w:val="left" w:pos="120"/>
                <w:tab w:val="left" w:pos="1800"/>
                <w:tab w:val="left" w:pos="3720"/>
                <w:tab w:val="left" w:pos="5880"/>
                <w:tab w:val="left" w:pos="7800"/>
              </w:tabs>
              <w:spacing w:line="560" w:lineRule="exact"/>
              <w:jc w:val="center"/>
              <w:rPr>
                <w:rFonts w:ascii="仿宋" w:hAnsi="仿宋" w:eastAsia="仿宋" w:cs="仿宋"/>
                <w:b/>
                <w:color w:val="000000"/>
                <w:szCs w:val="24"/>
              </w:rPr>
            </w:pPr>
            <w:r>
              <w:rPr>
                <w:rFonts w:hint="eastAsia" w:ascii="仿宋" w:hAnsi="仿宋" w:eastAsia="仿宋" w:cs="仿宋"/>
                <w:b/>
                <w:color w:val="000000"/>
                <w:szCs w:val="24"/>
              </w:rPr>
              <w:t>备注</w:t>
            </w:r>
          </w:p>
        </w:tc>
      </w:tr>
      <w:tr>
        <w:trPr>
          <w:trHeight w:val="505" w:hRule="atLeast"/>
        </w:trPr>
        <w:tc>
          <w:tcPr>
            <w:tcW w:w="707" w:type="dxa"/>
            <w:vAlign w:val="center"/>
          </w:tcPr>
          <w:p>
            <w:pPr>
              <w:pStyle w:val="23"/>
              <w:spacing w:line="560" w:lineRule="exact"/>
              <w:jc w:val="center"/>
              <w:rPr>
                <w:rFonts w:ascii="仿宋" w:hAnsi="仿宋" w:eastAsia="仿宋" w:cs="仿宋"/>
                <w:color w:val="000000"/>
                <w:szCs w:val="24"/>
              </w:rPr>
            </w:pPr>
            <w:r>
              <w:rPr>
                <w:rFonts w:hint="eastAsia" w:ascii="仿宋" w:hAnsi="仿宋" w:eastAsia="仿宋" w:cs="仿宋"/>
                <w:color w:val="000000"/>
                <w:szCs w:val="24"/>
              </w:rPr>
              <w:t>1</w:t>
            </w:r>
          </w:p>
        </w:tc>
        <w:tc>
          <w:tcPr>
            <w:tcW w:w="2268" w:type="dxa"/>
            <w:vAlign w:val="center"/>
          </w:tcPr>
          <w:p>
            <w:pPr>
              <w:pStyle w:val="23"/>
              <w:spacing w:line="560" w:lineRule="exact"/>
              <w:jc w:val="left"/>
              <w:rPr>
                <w:rFonts w:ascii="仿宋" w:hAnsi="仿宋" w:eastAsia="仿宋" w:cs="仿宋"/>
                <w:color w:val="000000"/>
                <w:szCs w:val="24"/>
              </w:rPr>
            </w:pPr>
          </w:p>
        </w:tc>
        <w:tc>
          <w:tcPr>
            <w:tcW w:w="2411" w:type="dxa"/>
            <w:vAlign w:val="center"/>
          </w:tcPr>
          <w:p>
            <w:pPr>
              <w:pStyle w:val="23"/>
              <w:spacing w:line="560" w:lineRule="exact"/>
              <w:jc w:val="left"/>
              <w:rPr>
                <w:rFonts w:ascii="仿宋" w:hAnsi="仿宋" w:eastAsia="仿宋" w:cs="仿宋"/>
                <w:color w:val="000000"/>
                <w:szCs w:val="24"/>
              </w:rPr>
            </w:pPr>
            <w:r>
              <w:rPr>
                <w:rFonts w:hint="eastAsia" w:ascii="仿宋" w:hAnsi="仿宋" w:eastAsia="仿宋" w:cs="仿宋"/>
                <w:color w:val="000000"/>
                <w:szCs w:val="24"/>
              </w:rPr>
              <w:t>小写：</w:t>
            </w:r>
          </w:p>
          <w:p>
            <w:pPr>
              <w:pStyle w:val="23"/>
              <w:spacing w:line="560" w:lineRule="exact"/>
              <w:jc w:val="left"/>
              <w:rPr>
                <w:rFonts w:ascii="仿宋" w:hAnsi="仿宋" w:eastAsia="仿宋" w:cs="仿宋"/>
                <w:color w:val="000000"/>
                <w:szCs w:val="24"/>
              </w:rPr>
            </w:pPr>
            <w:r>
              <w:rPr>
                <w:rFonts w:hint="eastAsia" w:ascii="仿宋" w:hAnsi="仿宋" w:eastAsia="仿宋" w:cs="仿宋"/>
                <w:color w:val="000000"/>
                <w:szCs w:val="24"/>
              </w:rPr>
              <w:t>大写：</w:t>
            </w:r>
          </w:p>
        </w:tc>
        <w:tc>
          <w:tcPr>
            <w:tcW w:w="1854" w:type="dxa"/>
          </w:tcPr>
          <w:p>
            <w:pPr>
              <w:pStyle w:val="23"/>
              <w:spacing w:line="560" w:lineRule="exact"/>
              <w:ind w:firstLine="360"/>
              <w:jc w:val="left"/>
              <w:rPr>
                <w:rFonts w:ascii="仿宋" w:hAnsi="仿宋" w:eastAsia="仿宋" w:cs="仿宋"/>
                <w:color w:val="000000"/>
                <w:szCs w:val="24"/>
              </w:rPr>
            </w:pPr>
          </w:p>
        </w:tc>
        <w:tc>
          <w:tcPr>
            <w:tcW w:w="1171" w:type="dxa"/>
            <w:vAlign w:val="center"/>
          </w:tcPr>
          <w:p>
            <w:pPr>
              <w:pStyle w:val="23"/>
              <w:spacing w:line="560" w:lineRule="exact"/>
              <w:ind w:firstLine="360"/>
              <w:jc w:val="left"/>
              <w:rPr>
                <w:rFonts w:ascii="仿宋" w:hAnsi="仿宋" w:eastAsia="仿宋" w:cs="仿宋"/>
                <w:color w:val="000000"/>
                <w:szCs w:val="24"/>
              </w:rPr>
            </w:pPr>
          </w:p>
        </w:tc>
      </w:tr>
    </w:tbl>
    <w:p>
      <w:pPr>
        <w:spacing w:line="560" w:lineRule="exact"/>
        <w:ind w:right="480"/>
        <w:rPr>
          <w:rFonts w:ascii="仿宋" w:hAnsi="仿宋" w:eastAsia="仿宋" w:cs="仿宋"/>
          <w:color w:val="000000"/>
          <w:szCs w:val="24"/>
        </w:rPr>
      </w:pPr>
    </w:p>
    <w:p>
      <w:pPr>
        <w:wordWrap w:val="0"/>
        <w:spacing w:line="560" w:lineRule="exact"/>
        <w:ind w:firstLine="480"/>
        <w:rPr>
          <w:rFonts w:ascii="仿宋" w:hAnsi="仿宋" w:eastAsia="仿宋" w:cs="仿宋"/>
          <w:color w:val="000000"/>
          <w:szCs w:val="24"/>
        </w:rPr>
      </w:pPr>
      <w:r>
        <w:rPr>
          <w:rFonts w:hint="eastAsia" w:ascii="仿宋" w:hAnsi="仿宋" w:eastAsia="仿宋" w:cs="仿宋"/>
          <w:color w:val="000000"/>
          <w:szCs w:val="24"/>
        </w:rPr>
        <w:t>响应供应商名称：（盖公章）</w:t>
      </w:r>
    </w:p>
    <w:p>
      <w:pPr>
        <w:spacing w:line="560" w:lineRule="exact"/>
        <w:ind w:firstLine="420" w:firstLineChars="200"/>
        <w:rPr>
          <w:rFonts w:ascii="仿宋" w:hAnsi="仿宋" w:eastAsia="仿宋" w:cs="仿宋"/>
          <w:color w:val="000000"/>
          <w:szCs w:val="24"/>
        </w:rPr>
      </w:pPr>
      <w:r>
        <w:rPr>
          <w:rFonts w:hint="eastAsia" w:ascii="仿宋" w:hAnsi="仿宋" w:eastAsia="仿宋" w:cs="仿宋"/>
          <w:color w:val="000000"/>
          <w:szCs w:val="24"/>
        </w:rPr>
        <w:t>法定代表人或其委托代理人：（签字）</w:t>
      </w:r>
    </w:p>
    <w:p>
      <w:pPr>
        <w:spacing w:line="560" w:lineRule="exact"/>
        <w:rPr>
          <w:rFonts w:ascii="仿宋" w:hAnsi="仿宋" w:eastAsia="仿宋" w:cs="仿宋"/>
          <w:szCs w:val="24"/>
        </w:rPr>
      </w:pPr>
      <w:r>
        <w:rPr>
          <w:rFonts w:hint="eastAsia" w:ascii="仿宋" w:hAnsi="仿宋" w:eastAsia="仿宋" w:cs="仿宋"/>
          <w:szCs w:val="24"/>
        </w:rPr>
        <w:t xml:space="preserve">    日  期：</w:t>
      </w:r>
    </w:p>
    <w:p>
      <w:pPr>
        <w:spacing w:line="560" w:lineRule="exact"/>
        <w:ind w:firstLine="480"/>
        <w:jc w:val="right"/>
        <w:rPr>
          <w:rFonts w:ascii="仿宋" w:hAnsi="仿宋" w:eastAsia="仿宋" w:cs="仿宋"/>
          <w:szCs w:val="24"/>
        </w:rPr>
      </w:pPr>
    </w:p>
    <w:p>
      <w:pPr>
        <w:spacing w:line="360" w:lineRule="auto"/>
        <w:rPr>
          <w:rFonts w:ascii="宋体" w:hAnsi="宋体"/>
          <w:b/>
          <w:bCs/>
          <w:kern w:val="0"/>
          <w:szCs w:val="21"/>
        </w:rPr>
      </w:pPr>
    </w:p>
    <w:p>
      <w:pPr>
        <w:widowControl w:val="0"/>
        <w:spacing w:line="360" w:lineRule="auto"/>
        <w:rPr>
          <w:rFonts w:ascii="宋体"/>
          <w:b/>
          <w:bCs/>
          <w:sz w:val="24"/>
          <w:szCs w:val="22"/>
        </w:rPr>
      </w:pPr>
    </w:p>
    <w:p>
      <w:pPr>
        <w:pStyle w:val="2"/>
        <w:rPr>
          <w:rFonts w:ascii="宋体" w:hAnsi="宋体"/>
          <w:lang w:val="en-GB"/>
        </w:rPr>
      </w:pPr>
    </w:p>
    <w:p>
      <w:pPr>
        <w:widowControl w:val="0"/>
        <w:spacing w:line="360" w:lineRule="auto"/>
        <w:rPr>
          <w:rFonts w:ascii="宋体"/>
          <w:color w:val="FF0000"/>
          <w:sz w:val="24"/>
          <w:szCs w:val="22"/>
        </w:rPr>
      </w:pPr>
    </w:p>
    <w:p>
      <w:pPr>
        <w:widowControl w:val="0"/>
        <w:numPr>
          <w:ilvl w:val="0"/>
          <w:numId w:val="2"/>
        </w:numPr>
        <w:spacing w:line="360" w:lineRule="auto"/>
        <w:ind w:firstLine="480" w:firstLineChars="200"/>
        <w:rPr>
          <w:rFonts w:ascii="宋体"/>
          <w:sz w:val="24"/>
          <w:szCs w:val="22"/>
        </w:rPr>
      </w:pPr>
    </w:p>
    <w:p>
      <w:pPr>
        <w:spacing w:line="360" w:lineRule="auto"/>
        <w:rPr>
          <w:rFonts w:ascii="宋体" w:hAnsi="宋体"/>
          <w:b/>
          <w:bCs/>
          <w:kern w:val="0"/>
          <w:szCs w:val="21"/>
        </w:rPr>
      </w:pPr>
    </w:p>
    <w:p>
      <w:pPr>
        <w:spacing w:line="360" w:lineRule="auto"/>
        <w:rPr>
          <w:rFonts w:ascii="宋体" w:hAnsi="宋体"/>
          <w:b/>
          <w:bCs/>
          <w:kern w:val="0"/>
          <w:szCs w:val="21"/>
        </w:rPr>
      </w:pPr>
    </w:p>
    <w:p>
      <w:pPr>
        <w:spacing w:line="360" w:lineRule="auto"/>
        <w:rPr>
          <w:rFonts w:ascii="宋体" w:hAnsi="宋体"/>
          <w:b/>
          <w:bCs/>
          <w:kern w:val="0"/>
          <w:szCs w:val="21"/>
        </w:rPr>
      </w:pPr>
    </w:p>
    <w:p>
      <w:pPr>
        <w:spacing w:line="500" w:lineRule="exact"/>
        <w:jc w:val="left"/>
        <w:rPr>
          <w:rFonts w:ascii="宋体" w:hAnsi="宋体"/>
          <w:color w:val="000000"/>
          <w:sz w:val="24"/>
          <w:szCs w:val="24"/>
        </w:rPr>
      </w:pPr>
    </w:p>
    <w:p>
      <w:pPr>
        <w:spacing w:line="500" w:lineRule="exact"/>
        <w:ind w:firstLine="480" w:firstLineChars="200"/>
        <w:jc w:val="left"/>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spacing w:line="500" w:lineRule="exact"/>
        <w:ind w:firstLine="480" w:firstLineChars="200"/>
        <w:jc w:val="left"/>
        <w:rPr>
          <w:rFonts w:ascii="宋体" w:hAnsi="宋体"/>
          <w:color w:val="000000"/>
          <w:sz w:val="24"/>
          <w:szCs w:val="24"/>
        </w:rPr>
      </w:pPr>
    </w:p>
    <w:p>
      <w:pPr>
        <w:pStyle w:val="46"/>
        <w:spacing w:before="312" w:after="156"/>
        <w:ind w:left="0" w:firstLine="0"/>
      </w:pPr>
      <w:bookmarkStart w:id="383" w:name="_Toc9435_WPSOffice_Level1"/>
      <w:bookmarkStart w:id="384" w:name="_Toc335848591"/>
      <w:bookmarkStart w:id="385" w:name="_Toc4044_WPSOffice_Level1"/>
      <w:bookmarkStart w:id="386" w:name="_Toc25004"/>
      <w:bookmarkStart w:id="387" w:name="_Toc10138_WPSOffice_Level1"/>
      <w:bookmarkStart w:id="388" w:name="_Toc3091_WPSOffice_Level1"/>
      <w:bookmarkStart w:id="389" w:name="_Toc21334_WPSOffice_Level1"/>
      <w:r>
        <w:rPr>
          <w:rFonts w:hint="eastAsia"/>
        </w:rPr>
        <w:t>格式二：法定代表人资格证明书</w:t>
      </w:r>
      <w:bookmarkEnd w:id="383"/>
      <w:bookmarkEnd w:id="384"/>
      <w:bookmarkEnd w:id="385"/>
      <w:bookmarkEnd w:id="386"/>
      <w:bookmarkEnd w:id="387"/>
      <w:bookmarkEnd w:id="388"/>
      <w:bookmarkEnd w:id="389"/>
    </w:p>
    <w:p>
      <w:pPr>
        <w:spacing w:line="500" w:lineRule="exact"/>
        <w:jc w:val="center"/>
        <w:rPr>
          <w:rFonts w:ascii="仿宋" w:hAnsi="仿宋" w:eastAsia="仿宋" w:cs="仿宋"/>
          <w:color w:val="000000"/>
          <w:szCs w:val="24"/>
        </w:rPr>
      </w:pPr>
      <w:bookmarkStart w:id="390" w:name="_Toc13591_WPSOffice_Level2"/>
      <w:bookmarkStart w:id="391" w:name="_Toc24173_WPSOffice_Level2"/>
      <w:bookmarkStart w:id="392" w:name="_Toc21592_WPSOffice_Level2"/>
      <w:bookmarkStart w:id="393" w:name="_Toc7069_WPSOffice_Level2"/>
      <w:r>
        <w:rPr>
          <w:rFonts w:hint="eastAsia" w:ascii="仿宋" w:hAnsi="仿宋" w:eastAsia="仿宋" w:cs="仿宋"/>
          <w:color w:val="000000"/>
          <w:szCs w:val="24"/>
        </w:rPr>
        <w:t>法定代表人资格证明书</w:t>
      </w:r>
      <w:bookmarkEnd w:id="390"/>
      <w:bookmarkEnd w:id="391"/>
      <w:bookmarkEnd w:id="392"/>
      <w:bookmarkEnd w:id="393"/>
    </w:p>
    <w:p>
      <w:pPr>
        <w:spacing w:line="560" w:lineRule="exact"/>
        <w:ind w:firstLine="480"/>
        <w:jc w:val="left"/>
        <w:rPr>
          <w:rFonts w:ascii="仿宋" w:hAnsi="仿宋" w:eastAsia="仿宋" w:cs="仿宋"/>
          <w:snapToGrid w:val="0"/>
          <w:color w:val="000000"/>
          <w:kern w:val="0"/>
          <w:szCs w:val="24"/>
        </w:rPr>
      </w:pPr>
    </w:p>
    <w:p>
      <w:pPr>
        <w:spacing w:line="560" w:lineRule="exact"/>
        <w:ind w:firstLine="480"/>
        <w:jc w:val="left"/>
        <w:rPr>
          <w:rFonts w:ascii="仿宋" w:hAnsi="仿宋" w:eastAsia="仿宋" w:cs="仿宋"/>
          <w:snapToGrid w:val="0"/>
          <w:color w:val="000000"/>
          <w:kern w:val="0"/>
          <w:szCs w:val="24"/>
          <w:u w:val="single"/>
        </w:rPr>
      </w:pPr>
      <w:r>
        <w:rPr>
          <w:rFonts w:hint="eastAsia" w:ascii="仿宋" w:hAnsi="仿宋" w:eastAsia="仿宋" w:cs="仿宋"/>
          <w:snapToGrid w:val="0"/>
          <w:color w:val="000000"/>
          <w:kern w:val="0"/>
          <w:szCs w:val="24"/>
        </w:rPr>
        <w:t>单位名称：</w:t>
      </w:r>
    </w:p>
    <w:p>
      <w:pPr>
        <w:spacing w:line="560" w:lineRule="exact"/>
        <w:ind w:firstLine="480"/>
        <w:jc w:val="left"/>
        <w:rPr>
          <w:rFonts w:ascii="仿宋" w:hAnsi="仿宋" w:eastAsia="仿宋" w:cs="仿宋"/>
          <w:snapToGrid w:val="0"/>
          <w:color w:val="000000"/>
          <w:kern w:val="0"/>
          <w:szCs w:val="24"/>
          <w:u w:val="single"/>
        </w:rPr>
      </w:pPr>
      <w:r>
        <w:rPr>
          <w:rFonts w:hint="eastAsia" w:ascii="仿宋" w:hAnsi="仿宋" w:eastAsia="仿宋" w:cs="仿宋"/>
          <w:snapToGrid w:val="0"/>
          <w:color w:val="000000"/>
          <w:kern w:val="0"/>
          <w:szCs w:val="24"/>
        </w:rPr>
        <w:t>地    址：</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姓    名：           （性别：年龄：职务：）</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系我司的法定代表人（身份证号：                           ）。</w:t>
      </w:r>
    </w:p>
    <w:p>
      <w:pPr>
        <w:spacing w:line="560" w:lineRule="exact"/>
        <w:ind w:firstLine="480"/>
        <w:jc w:val="left"/>
        <w:rPr>
          <w:rFonts w:ascii="仿宋" w:hAnsi="仿宋" w:eastAsia="仿宋" w:cs="仿宋"/>
          <w:snapToGrid w:val="0"/>
          <w:color w:val="000000"/>
          <w:kern w:val="0"/>
          <w:szCs w:val="24"/>
        </w:rPr>
      </w:pP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特此证明。</w:t>
      </w:r>
    </w:p>
    <w:p>
      <w:pPr>
        <w:spacing w:line="560" w:lineRule="exact"/>
        <w:ind w:firstLine="480"/>
        <w:jc w:val="left"/>
        <w:rPr>
          <w:rFonts w:ascii="仿宋" w:hAnsi="仿宋" w:eastAsia="仿宋" w:cs="仿宋"/>
          <w:snapToGrid w:val="0"/>
          <w:color w:val="000000"/>
          <w:kern w:val="0"/>
          <w:szCs w:val="24"/>
        </w:rPr>
      </w:pPr>
    </w:p>
    <w:p>
      <w:pPr>
        <w:spacing w:line="560" w:lineRule="exact"/>
        <w:ind w:firstLine="480"/>
        <w:rPr>
          <w:rFonts w:ascii="仿宋" w:hAnsi="仿宋" w:eastAsia="仿宋" w:cs="仿宋"/>
          <w:snapToGrid w:val="0"/>
          <w:color w:val="000000"/>
          <w:kern w:val="0"/>
          <w:szCs w:val="24"/>
          <w:u w:val="single"/>
        </w:rPr>
      </w:pPr>
      <w:r>
        <w:rPr>
          <w:rFonts w:hint="eastAsia" w:ascii="仿宋" w:hAnsi="仿宋" w:eastAsia="仿宋" w:cs="仿宋"/>
          <w:snapToGrid w:val="0"/>
          <w:color w:val="000000"/>
          <w:kern w:val="0"/>
          <w:szCs w:val="24"/>
        </w:rPr>
        <w:t>响应供应商名称：（盖公章）</w:t>
      </w:r>
    </w:p>
    <w:p>
      <w:pPr>
        <w:wordWrap w:val="0"/>
        <w:spacing w:line="560" w:lineRule="exact"/>
        <w:ind w:firstLine="420" w:firstLineChars="200"/>
        <w:rPr>
          <w:rFonts w:ascii="仿宋" w:hAnsi="仿宋" w:eastAsia="仿宋" w:cs="仿宋"/>
          <w:b/>
          <w:snapToGrid w:val="0"/>
          <w:color w:val="000000"/>
          <w:kern w:val="0"/>
          <w:szCs w:val="24"/>
        </w:rPr>
      </w:pPr>
      <w:r>
        <w:rPr>
          <w:rFonts w:hint="eastAsia" w:ascii="仿宋" w:hAnsi="仿宋" w:eastAsia="仿宋" w:cs="仿宋"/>
          <w:snapToGrid w:val="0"/>
          <w:color w:val="000000"/>
          <w:kern w:val="0"/>
          <w:szCs w:val="24"/>
        </w:rPr>
        <w:t>日  期：年月日</w:t>
      </w:r>
      <w:bookmarkStart w:id="394" w:name="_Toc359587704"/>
      <w:bookmarkStart w:id="395" w:name="_Toc361661620"/>
      <w:bookmarkStart w:id="396" w:name="_Toc267921550"/>
    </w:p>
    <w:p>
      <w:pPr>
        <w:spacing w:line="560" w:lineRule="exact"/>
        <w:ind w:firstLine="482"/>
        <w:jc w:val="left"/>
        <w:rPr>
          <w:rFonts w:ascii="仿宋" w:hAnsi="仿宋" w:eastAsia="仿宋" w:cs="仿宋"/>
          <w:b/>
          <w:bCs/>
          <w:color w:val="000000"/>
          <w:szCs w:val="24"/>
        </w:rPr>
      </w:pPr>
    </w:p>
    <w:p>
      <w:pPr>
        <w:spacing w:line="560" w:lineRule="exact"/>
        <w:ind w:firstLine="643"/>
        <w:jc w:val="left"/>
        <w:rPr>
          <w:rFonts w:ascii="仿宋_GB2312" w:hAnsi="仿宋_GB2312" w:eastAsia="仿宋_GB2312" w:cs="仿宋_GB2312"/>
          <w:b/>
          <w:bCs/>
          <w:color w:val="000000"/>
          <w:sz w:val="32"/>
          <w:szCs w:val="32"/>
        </w:rPr>
      </w:pPr>
    </w:p>
    <w:p>
      <w:pPr>
        <w:pStyle w:val="46"/>
        <w:spacing w:before="312" w:after="156" w:line="560" w:lineRule="exact"/>
        <w:ind w:left="0" w:firstLine="0"/>
        <w:rPr>
          <w:rFonts w:ascii="仿宋" w:hAnsi="仿宋" w:eastAsia="仿宋"/>
        </w:rPr>
      </w:pPr>
      <w:bookmarkStart w:id="397" w:name="_Toc365368989"/>
      <w:bookmarkStart w:id="398" w:name="_Toc365318736"/>
      <w:r>
        <w:rPr>
          <w:rFonts w:hint="eastAsia" w:ascii="仿宋_GB2312" w:hAnsi="仿宋_GB2312" w:eastAsia="仿宋_GB2312" w:cs="仿宋_GB2312"/>
        </w:rPr>
        <w:br w:type="page"/>
      </w:r>
      <w:bookmarkStart w:id="399" w:name="_Toc10106_WPSOffice_Level1"/>
      <w:bookmarkStart w:id="400" w:name="_Toc13626_WPSOffice_Level1"/>
      <w:bookmarkStart w:id="401" w:name="_Toc6944"/>
      <w:bookmarkStart w:id="402" w:name="_Toc18406_WPSOffice_Level1"/>
      <w:bookmarkStart w:id="403" w:name="_Toc2075_WPSOffice_Level1"/>
      <w:bookmarkStart w:id="404" w:name="_Toc335848592"/>
      <w:bookmarkStart w:id="405" w:name="_Toc18208_WPSOffice_Level1"/>
      <w:r>
        <w:rPr>
          <w:rFonts w:hint="eastAsia"/>
        </w:rPr>
        <w:t>格式三：法定代表人授权委托书</w:t>
      </w:r>
      <w:bookmarkEnd w:id="394"/>
      <w:bookmarkEnd w:id="395"/>
      <w:bookmarkEnd w:id="397"/>
      <w:bookmarkEnd w:id="398"/>
      <w:bookmarkEnd w:id="399"/>
      <w:bookmarkEnd w:id="400"/>
      <w:bookmarkEnd w:id="401"/>
      <w:bookmarkEnd w:id="402"/>
      <w:bookmarkEnd w:id="403"/>
      <w:bookmarkEnd w:id="404"/>
      <w:bookmarkEnd w:id="405"/>
    </w:p>
    <w:p>
      <w:pPr>
        <w:spacing w:line="500" w:lineRule="exact"/>
        <w:jc w:val="center"/>
        <w:rPr>
          <w:rFonts w:ascii="仿宋" w:hAnsi="仿宋" w:eastAsia="仿宋" w:cs="仿宋"/>
          <w:color w:val="000000"/>
          <w:szCs w:val="24"/>
        </w:rPr>
      </w:pPr>
      <w:bookmarkStart w:id="406" w:name="_Toc32385_WPSOffice_Level2"/>
      <w:bookmarkStart w:id="407" w:name="_Toc359587705"/>
      <w:bookmarkStart w:id="408" w:name="_Toc20573_WPSOffice_Level2"/>
      <w:bookmarkStart w:id="409" w:name="_Toc7847_WPSOffice_Level2"/>
      <w:bookmarkStart w:id="410" w:name="_Toc26449_WPSOffice_Level2"/>
      <w:bookmarkStart w:id="411" w:name="_Toc359588422"/>
      <w:r>
        <w:rPr>
          <w:rFonts w:hint="eastAsia" w:ascii="仿宋" w:hAnsi="仿宋" w:eastAsia="仿宋" w:cs="仿宋"/>
          <w:color w:val="000000"/>
          <w:szCs w:val="24"/>
        </w:rPr>
        <w:t>法定代表人授权委托</w:t>
      </w:r>
      <w:bookmarkEnd w:id="396"/>
      <w:r>
        <w:rPr>
          <w:rFonts w:hint="eastAsia" w:ascii="仿宋" w:hAnsi="仿宋" w:eastAsia="仿宋" w:cs="仿宋"/>
          <w:color w:val="000000"/>
          <w:szCs w:val="24"/>
        </w:rPr>
        <w:t>书</w:t>
      </w:r>
      <w:bookmarkEnd w:id="406"/>
      <w:bookmarkEnd w:id="407"/>
      <w:bookmarkEnd w:id="408"/>
      <w:bookmarkEnd w:id="409"/>
      <w:bookmarkEnd w:id="410"/>
      <w:bookmarkEnd w:id="411"/>
    </w:p>
    <w:p>
      <w:pPr>
        <w:spacing w:line="560" w:lineRule="exact"/>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厦门思明国有控股集团有限公司：</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我以法定代表人身份授权</w:t>
      </w:r>
      <w:r>
        <w:rPr>
          <w:rFonts w:hint="eastAsia" w:ascii="仿宋" w:hAnsi="仿宋" w:eastAsia="仿宋" w:cs="仿宋"/>
          <w:snapToGrid w:val="0"/>
          <w:color w:val="000000"/>
          <w:kern w:val="0"/>
          <w:szCs w:val="24"/>
          <w:u w:val="single"/>
        </w:rPr>
        <w:t xml:space="preserve">      </w:t>
      </w:r>
      <w:r>
        <w:rPr>
          <w:rFonts w:hint="eastAsia" w:ascii="仿宋" w:hAnsi="仿宋" w:eastAsia="仿宋" w:cs="仿宋"/>
          <w:snapToGrid w:val="0"/>
          <w:color w:val="000000"/>
          <w:kern w:val="0"/>
          <w:szCs w:val="24"/>
        </w:rPr>
        <w:t>为代表，其参加贵司组织的采购，签署响应文件及其他书面文件，负责参加磋商、商务洽谈、签署合同及采购活动中的一切事宜，我司均不可撤销地予以承认。</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法定代表人签字：</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响应供应商全称（公章）：</w:t>
      </w: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日期：年月日</w:t>
      </w:r>
    </w:p>
    <w:p>
      <w:pPr>
        <w:spacing w:line="560" w:lineRule="exact"/>
        <w:ind w:firstLine="480"/>
        <w:jc w:val="left"/>
        <w:rPr>
          <w:rFonts w:ascii="仿宋" w:hAnsi="仿宋" w:eastAsia="仿宋" w:cs="仿宋"/>
          <w:snapToGrid w:val="0"/>
          <w:color w:val="000000"/>
          <w:kern w:val="0"/>
          <w:szCs w:val="24"/>
        </w:rPr>
      </w:pPr>
    </w:p>
    <w:p>
      <w:pPr>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 xml:space="preserve">附：代表姓名： </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身份证号：</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 xml:space="preserve">职    务： </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 xml:space="preserve">详细通讯地址： </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传    真：</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电    话：</w:t>
      </w:r>
    </w:p>
    <w:p>
      <w:pPr>
        <w:adjustRightInd w:val="0"/>
        <w:snapToGrid w:val="0"/>
        <w:spacing w:line="560" w:lineRule="exact"/>
        <w:ind w:firstLine="480"/>
        <w:jc w:val="left"/>
        <w:rPr>
          <w:rFonts w:ascii="仿宋" w:hAnsi="仿宋" w:eastAsia="仿宋" w:cs="仿宋"/>
          <w:snapToGrid w:val="0"/>
          <w:color w:val="000000"/>
          <w:kern w:val="0"/>
          <w:szCs w:val="24"/>
        </w:rPr>
      </w:pPr>
      <w:r>
        <w:rPr>
          <w:rFonts w:hint="eastAsia" w:ascii="仿宋" w:hAnsi="仿宋" w:eastAsia="仿宋" w:cs="仿宋"/>
          <w:snapToGrid w:val="0"/>
          <w:color w:val="000000"/>
          <w:kern w:val="0"/>
          <w:szCs w:val="24"/>
        </w:rPr>
        <w:t>邮政编码：</w:t>
      </w:r>
    </w:p>
    <w:p>
      <w:pPr>
        <w:adjustRightInd w:val="0"/>
        <w:snapToGrid w:val="0"/>
        <w:spacing w:line="560" w:lineRule="exact"/>
        <w:ind w:firstLine="480"/>
        <w:jc w:val="left"/>
        <w:rPr>
          <w:rFonts w:ascii="仿宋" w:hAnsi="仿宋" w:eastAsia="仿宋" w:cs="仿宋"/>
          <w:snapToGrid w:val="0"/>
          <w:kern w:val="0"/>
          <w:szCs w:val="24"/>
        </w:rPr>
      </w:pPr>
      <w:r>
        <w:rPr>
          <w:rFonts w:hint="eastAsia" w:ascii="仿宋" w:hAnsi="仿宋" w:eastAsia="仿宋" w:cs="仿宋"/>
          <w:snapToGrid w:val="0"/>
          <w:color w:val="000000"/>
          <w:kern w:val="0"/>
          <w:szCs w:val="24"/>
        </w:rPr>
        <w:t>电子邮箱：</w:t>
      </w:r>
    </w:p>
    <w:p>
      <w:pPr>
        <w:adjustRightInd w:val="0"/>
        <w:snapToGrid w:val="0"/>
        <w:spacing w:line="560" w:lineRule="exact"/>
        <w:ind w:firstLine="480"/>
        <w:jc w:val="left"/>
        <w:rPr>
          <w:rFonts w:ascii="仿宋" w:hAnsi="仿宋" w:eastAsia="仿宋" w:cs="仿宋"/>
          <w:snapToGrid w:val="0"/>
          <w:kern w:val="0"/>
          <w:szCs w:val="24"/>
        </w:rPr>
      </w:pPr>
    </w:p>
    <w:p>
      <w:pPr>
        <w:adjustRightInd w:val="0"/>
        <w:snapToGrid w:val="0"/>
        <w:spacing w:line="560" w:lineRule="exact"/>
        <w:ind w:firstLine="480"/>
        <w:jc w:val="left"/>
        <w:rPr>
          <w:rFonts w:ascii="仿宋" w:hAnsi="仿宋" w:eastAsia="仿宋" w:cs="仿宋"/>
          <w:snapToGrid w:val="0"/>
          <w:color w:val="000000"/>
          <w:kern w:val="0"/>
          <w:szCs w:val="24"/>
        </w:rPr>
      </w:pPr>
    </w:p>
    <w:p>
      <w:pPr>
        <w:adjustRightInd w:val="0"/>
        <w:snapToGrid w:val="0"/>
        <w:spacing w:line="560" w:lineRule="exact"/>
        <w:ind w:firstLine="480"/>
        <w:jc w:val="left"/>
        <w:rPr>
          <w:rFonts w:ascii="仿宋" w:hAnsi="仿宋" w:eastAsia="仿宋" w:cs="仿宋"/>
          <w:snapToGrid w:val="0"/>
          <w:color w:val="000000"/>
          <w:kern w:val="0"/>
          <w:szCs w:val="24"/>
        </w:rPr>
      </w:pPr>
    </w:p>
    <w:p>
      <w:pPr>
        <w:adjustRightInd w:val="0"/>
        <w:snapToGrid w:val="0"/>
        <w:spacing w:line="560" w:lineRule="exact"/>
        <w:ind w:firstLine="480"/>
        <w:jc w:val="left"/>
        <w:rPr>
          <w:rFonts w:ascii="仿宋" w:hAnsi="仿宋" w:eastAsia="仿宋" w:cs="仿宋"/>
          <w:snapToGrid w:val="0"/>
          <w:color w:val="000000"/>
          <w:kern w:val="0"/>
          <w:szCs w:val="24"/>
        </w:rPr>
      </w:pPr>
    </w:p>
    <w:p>
      <w:pPr>
        <w:adjustRightInd w:val="0"/>
        <w:snapToGrid w:val="0"/>
        <w:spacing w:line="560" w:lineRule="exact"/>
        <w:ind w:firstLine="480"/>
        <w:jc w:val="left"/>
        <w:rPr>
          <w:rFonts w:ascii="仿宋" w:hAnsi="仿宋" w:eastAsia="仿宋" w:cs="仿宋"/>
          <w:snapToGrid w:val="0"/>
          <w:color w:val="000000"/>
          <w:kern w:val="0"/>
          <w:szCs w:val="24"/>
        </w:rPr>
      </w:pPr>
    </w:p>
    <w:p>
      <w:pPr>
        <w:adjustRightInd w:val="0"/>
        <w:snapToGrid w:val="0"/>
        <w:spacing w:line="560" w:lineRule="exact"/>
        <w:ind w:firstLine="480"/>
        <w:jc w:val="left"/>
        <w:rPr>
          <w:rFonts w:ascii="仿宋" w:hAnsi="仿宋" w:eastAsia="仿宋" w:cs="仿宋"/>
          <w:snapToGrid w:val="0"/>
          <w:color w:val="000000"/>
          <w:kern w:val="0"/>
          <w:szCs w:val="24"/>
        </w:rPr>
      </w:pPr>
    </w:p>
    <w:p>
      <w:pPr>
        <w:pStyle w:val="46"/>
        <w:spacing w:before="312" w:after="156" w:line="560" w:lineRule="exact"/>
        <w:ind w:left="0" w:firstLine="0"/>
      </w:pPr>
      <w:bookmarkStart w:id="412" w:name="_Toc16062"/>
      <w:bookmarkStart w:id="413" w:name="_Toc361661624"/>
      <w:bookmarkStart w:id="414" w:name="_Toc365368990"/>
      <w:bookmarkStart w:id="415" w:name="_Toc10839_WPSOffice_Level1"/>
      <w:bookmarkStart w:id="416" w:name="_Toc365318737"/>
      <w:bookmarkStart w:id="417" w:name="_Toc335848593"/>
      <w:bookmarkStart w:id="418" w:name="_Toc17176_WPSOffice_Level1"/>
      <w:bookmarkStart w:id="419" w:name="_Toc3930_WPSOffice_Level1"/>
      <w:bookmarkStart w:id="420" w:name="_Toc22755_WPSOffice_Level1"/>
      <w:bookmarkStart w:id="421" w:name="_Toc21914_WPSOffice_Level1"/>
      <w:r>
        <w:rPr>
          <w:rFonts w:hint="eastAsia"/>
        </w:rPr>
        <w:t>格式四：响应单位的资质证明材料</w:t>
      </w:r>
      <w:bookmarkEnd w:id="412"/>
      <w:bookmarkEnd w:id="413"/>
      <w:bookmarkEnd w:id="414"/>
      <w:bookmarkEnd w:id="415"/>
      <w:bookmarkEnd w:id="416"/>
      <w:bookmarkEnd w:id="417"/>
      <w:bookmarkEnd w:id="418"/>
      <w:bookmarkEnd w:id="419"/>
      <w:bookmarkEnd w:id="420"/>
      <w:bookmarkEnd w:id="421"/>
    </w:p>
    <w:p>
      <w:pPr>
        <w:spacing w:line="500" w:lineRule="exact"/>
        <w:jc w:val="center"/>
        <w:rPr>
          <w:rFonts w:ascii="仿宋" w:hAnsi="仿宋" w:eastAsia="仿宋" w:cs="仿宋"/>
          <w:color w:val="000000"/>
          <w:szCs w:val="24"/>
        </w:rPr>
      </w:pPr>
      <w:bookmarkStart w:id="422" w:name="_Toc17904_WPSOffice_Level2"/>
      <w:bookmarkStart w:id="423" w:name="_Toc359587713"/>
      <w:bookmarkStart w:id="424" w:name="_Toc25863_WPSOffice_Level2"/>
      <w:bookmarkStart w:id="425" w:name="_Toc359588430"/>
      <w:bookmarkStart w:id="426" w:name="_Toc7695_WPSOffice_Level2"/>
      <w:bookmarkStart w:id="427" w:name="_Toc8776_WPSOffice_Level2"/>
      <w:r>
        <w:rPr>
          <w:rFonts w:hint="eastAsia" w:ascii="仿宋" w:hAnsi="仿宋" w:eastAsia="仿宋" w:cs="仿宋"/>
          <w:color w:val="000000"/>
          <w:szCs w:val="24"/>
        </w:rPr>
        <w:t>响应单位的资质证明材料</w:t>
      </w:r>
      <w:bookmarkEnd w:id="422"/>
      <w:bookmarkEnd w:id="423"/>
      <w:bookmarkEnd w:id="424"/>
      <w:bookmarkEnd w:id="425"/>
      <w:bookmarkEnd w:id="426"/>
      <w:bookmarkEnd w:id="427"/>
      <w:bookmarkStart w:id="428" w:name="_Toc267921556"/>
    </w:p>
    <w:p>
      <w:pPr>
        <w:spacing w:line="560" w:lineRule="exact"/>
        <w:ind w:firstLine="482"/>
        <w:jc w:val="center"/>
        <w:rPr>
          <w:rStyle w:val="38"/>
          <w:rFonts w:ascii="仿宋" w:hAnsi="仿宋" w:eastAsia="仿宋" w:cs="仿宋"/>
          <w:bCs w:val="0"/>
          <w:color w:val="000000"/>
          <w:sz w:val="24"/>
          <w:szCs w:val="24"/>
        </w:rPr>
      </w:pPr>
    </w:p>
    <w:p>
      <w:pPr>
        <w:numPr>
          <w:ilvl w:val="0"/>
          <w:numId w:val="13"/>
        </w:numPr>
        <w:spacing w:before="60" w:after="60" w:line="560" w:lineRule="exact"/>
        <w:ind w:hanging="278"/>
        <w:rPr>
          <w:rFonts w:ascii="仿宋" w:hAnsi="仿宋" w:eastAsia="仿宋" w:cs="仿宋"/>
          <w:snapToGrid w:val="0"/>
          <w:color w:val="000000"/>
          <w:kern w:val="0"/>
          <w:szCs w:val="24"/>
        </w:rPr>
      </w:pPr>
      <w:bookmarkStart w:id="429" w:name="_Toc30909_WPSOffice_Level1"/>
      <w:bookmarkStart w:id="430" w:name="_Toc7354_WPSOffice_Level2"/>
      <w:bookmarkStart w:id="431" w:name="_Toc22139_WPSOffice_Level2"/>
      <w:r>
        <w:rPr>
          <w:rFonts w:hint="eastAsia" w:ascii="仿宋" w:hAnsi="仿宋" w:eastAsia="仿宋" w:cs="仿宋"/>
          <w:snapToGrid w:val="0"/>
          <w:color w:val="000000"/>
          <w:kern w:val="0"/>
          <w:szCs w:val="24"/>
        </w:rPr>
        <w:t>企业法人营业执照（复印件加盖公章）；</w:t>
      </w:r>
      <w:bookmarkEnd w:id="429"/>
      <w:bookmarkEnd w:id="430"/>
      <w:bookmarkEnd w:id="431"/>
    </w:p>
    <w:p>
      <w:pPr>
        <w:numPr>
          <w:ilvl w:val="0"/>
          <w:numId w:val="13"/>
        </w:numPr>
        <w:spacing w:before="60" w:after="60" w:line="560" w:lineRule="exact"/>
        <w:ind w:hanging="278"/>
        <w:rPr>
          <w:rFonts w:ascii="仿宋" w:hAnsi="仿宋" w:eastAsia="仿宋" w:cs="仿宋"/>
          <w:snapToGrid w:val="0"/>
          <w:color w:val="000000"/>
          <w:kern w:val="0"/>
          <w:szCs w:val="24"/>
        </w:rPr>
      </w:pPr>
      <w:bookmarkStart w:id="432" w:name="_Toc17368_WPSOffice_Level2"/>
      <w:bookmarkStart w:id="433" w:name="_Toc31456_WPSOffice_Level2"/>
      <w:bookmarkStart w:id="434" w:name="_Toc31899_WPSOffice_Level1"/>
      <w:r>
        <w:rPr>
          <w:rFonts w:hint="eastAsia" w:ascii="仿宋" w:hAnsi="仿宋" w:eastAsia="仿宋" w:cs="仿宋"/>
          <w:snapToGrid w:val="0"/>
          <w:color w:val="000000"/>
          <w:kern w:val="0"/>
          <w:szCs w:val="24"/>
        </w:rPr>
        <w:t>税务登记证（复印件加盖公章）；</w:t>
      </w:r>
      <w:bookmarkEnd w:id="432"/>
      <w:bookmarkEnd w:id="433"/>
      <w:bookmarkEnd w:id="434"/>
    </w:p>
    <w:p>
      <w:pPr>
        <w:numPr>
          <w:ilvl w:val="0"/>
          <w:numId w:val="13"/>
        </w:numPr>
        <w:spacing w:before="60" w:after="60" w:line="560" w:lineRule="exact"/>
        <w:ind w:hanging="278"/>
        <w:rPr>
          <w:rFonts w:ascii="仿宋" w:hAnsi="仿宋" w:eastAsia="仿宋" w:cs="仿宋"/>
          <w:snapToGrid w:val="0"/>
          <w:color w:val="000000"/>
          <w:kern w:val="0"/>
          <w:szCs w:val="24"/>
        </w:rPr>
      </w:pPr>
      <w:bookmarkStart w:id="435" w:name="_Toc24368_WPSOffice_Level2"/>
      <w:bookmarkStart w:id="436" w:name="_Toc14856_WPSOffice_Level2"/>
      <w:bookmarkStart w:id="437" w:name="_Toc23330_WPSOffice_Level1"/>
      <w:r>
        <w:rPr>
          <w:rFonts w:hint="eastAsia" w:ascii="仿宋" w:hAnsi="仿宋" w:eastAsia="仿宋" w:cs="仿宋"/>
          <w:snapToGrid w:val="0"/>
          <w:color w:val="000000"/>
          <w:kern w:val="0"/>
          <w:szCs w:val="24"/>
        </w:rPr>
        <w:t>各类资质资质证明材料（复印件加盖公章）；</w:t>
      </w:r>
      <w:bookmarkEnd w:id="435"/>
      <w:bookmarkEnd w:id="436"/>
      <w:bookmarkEnd w:id="437"/>
    </w:p>
    <w:p>
      <w:pPr>
        <w:numPr>
          <w:ilvl w:val="0"/>
          <w:numId w:val="13"/>
        </w:numPr>
        <w:spacing w:before="60" w:after="60" w:line="560" w:lineRule="exact"/>
        <w:ind w:hanging="278"/>
        <w:rPr>
          <w:rFonts w:ascii="仿宋" w:hAnsi="仿宋" w:eastAsia="仿宋" w:cs="仿宋"/>
          <w:snapToGrid w:val="0"/>
          <w:color w:val="000000"/>
          <w:kern w:val="0"/>
          <w:szCs w:val="24"/>
        </w:rPr>
      </w:pPr>
      <w:r>
        <w:rPr>
          <w:rFonts w:hint="eastAsia" w:ascii="仿宋" w:hAnsi="仿宋" w:eastAsia="仿宋"/>
          <w:color w:val="000000"/>
          <w:sz w:val="24"/>
          <w:szCs w:val="24"/>
        </w:rPr>
        <w:t>“信用中国”“中国执行信息公开网”国家安全监管总局（应急管理部）查询记录（加盖公章）</w:t>
      </w:r>
    </w:p>
    <w:p>
      <w:pPr>
        <w:numPr>
          <w:ilvl w:val="0"/>
          <w:numId w:val="13"/>
        </w:numPr>
        <w:spacing w:before="60" w:after="60" w:line="560" w:lineRule="exact"/>
        <w:ind w:hanging="278"/>
        <w:rPr>
          <w:rFonts w:ascii="仿宋" w:hAnsi="仿宋" w:eastAsia="仿宋" w:cs="仿宋"/>
          <w:snapToGrid w:val="0"/>
          <w:color w:val="000000"/>
          <w:kern w:val="0"/>
          <w:szCs w:val="24"/>
        </w:rPr>
      </w:pPr>
      <w:bookmarkStart w:id="438" w:name="_Toc10845_WPSOffice_Level2"/>
      <w:bookmarkStart w:id="439" w:name="_Toc18835_WPSOffice_Level2"/>
      <w:bookmarkStart w:id="440" w:name="_Toc24565_WPSOffice_Level1"/>
      <w:r>
        <w:rPr>
          <w:rFonts w:hint="eastAsia" w:ascii="仿宋" w:hAnsi="仿宋" w:eastAsia="仿宋" w:cs="仿宋"/>
          <w:snapToGrid w:val="0"/>
          <w:color w:val="000000"/>
          <w:kern w:val="0"/>
          <w:szCs w:val="24"/>
        </w:rPr>
        <w:t>其他证书（响应供应商认为能证明其实力的相关证书）（复印件加盖公章）；</w:t>
      </w:r>
      <w:bookmarkEnd w:id="438"/>
      <w:bookmarkEnd w:id="439"/>
      <w:bookmarkEnd w:id="440"/>
    </w:p>
    <w:p>
      <w:pPr>
        <w:ind w:firstLine="480"/>
        <w:jc w:val="center"/>
        <w:rPr>
          <w:rFonts w:ascii="仿宋" w:hAnsi="仿宋" w:eastAsia="仿宋"/>
          <w:b/>
          <w:sz w:val="24"/>
          <w:szCs w:val="24"/>
        </w:rPr>
      </w:pPr>
    </w:p>
    <w:p>
      <w:pPr>
        <w:ind w:firstLine="480"/>
        <w:jc w:val="center"/>
        <w:rPr>
          <w:rFonts w:ascii="仿宋" w:hAnsi="仿宋" w:eastAsia="仿宋"/>
          <w:b/>
          <w:sz w:val="24"/>
          <w:szCs w:val="24"/>
        </w:rPr>
      </w:pPr>
    </w:p>
    <w:p>
      <w:pPr>
        <w:rPr>
          <w:rFonts w:ascii="仿宋" w:hAnsi="仿宋" w:eastAsia="仿宋" w:cs="仿宋"/>
          <w:color w:val="000000"/>
          <w:szCs w:val="24"/>
        </w:rPr>
      </w:pPr>
      <w:bookmarkStart w:id="441" w:name="_Toc1304_WPSOffice_Level1"/>
      <w:bookmarkStart w:id="442" w:name="_Toc8548_WPSOffice_Level1"/>
      <w:bookmarkStart w:id="443" w:name="_Toc28187_WPSOffice_Level1"/>
      <w:r>
        <w:rPr>
          <w:rFonts w:hint="eastAsia" w:ascii="仿宋" w:hAnsi="仿宋" w:eastAsia="仿宋"/>
          <w:b/>
          <w:sz w:val="24"/>
          <w:szCs w:val="24"/>
        </w:rPr>
        <w:t>说明：响应供应商</w:t>
      </w:r>
      <w:r>
        <w:rPr>
          <w:rFonts w:ascii="仿宋" w:hAnsi="仿宋" w:eastAsia="仿宋"/>
          <w:b/>
          <w:sz w:val="24"/>
          <w:szCs w:val="24"/>
        </w:rPr>
        <w:t>应按</w:t>
      </w:r>
      <w:r>
        <w:rPr>
          <w:rFonts w:hint="eastAsia" w:ascii="仿宋" w:hAnsi="仿宋" w:eastAsia="仿宋"/>
          <w:b/>
          <w:sz w:val="24"/>
          <w:szCs w:val="24"/>
        </w:rPr>
        <w:t>响应</w:t>
      </w:r>
      <w:r>
        <w:rPr>
          <w:rFonts w:ascii="仿宋" w:hAnsi="仿宋" w:eastAsia="仿宋"/>
          <w:b/>
          <w:sz w:val="24"/>
          <w:szCs w:val="24"/>
        </w:rPr>
        <w:t>文件的实际情况编制目录</w:t>
      </w:r>
      <w:bookmarkEnd w:id="441"/>
      <w:bookmarkEnd w:id="442"/>
      <w:bookmarkEnd w:id="443"/>
      <w:r>
        <w:rPr>
          <w:rFonts w:hint="eastAsia" w:ascii="仿宋" w:hAnsi="仿宋" w:eastAsia="仿宋" w:cs="仿宋"/>
          <w:sz w:val="24"/>
          <w:szCs w:val="24"/>
        </w:rPr>
        <w:br w:type="page"/>
      </w:r>
      <w:bookmarkEnd w:id="428"/>
    </w:p>
    <w:p>
      <w:pPr>
        <w:pStyle w:val="46"/>
        <w:spacing w:before="312" w:after="156"/>
      </w:pPr>
      <w:bookmarkStart w:id="444" w:name="_Toc25262"/>
      <w:bookmarkStart w:id="445" w:name="_Toc2592_WPSOffice_Level1"/>
      <w:bookmarkStart w:id="446" w:name="_Toc22139_WPSOffice_Level1"/>
      <w:bookmarkStart w:id="447" w:name="_Toc16910_WPSOffice_Level1"/>
      <w:bookmarkStart w:id="448" w:name="_Toc23874_WPSOffice_Level1"/>
      <w:bookmarkStart w:id="449" w:name="_Toc1463_WPSOffice_Level1"/>
      <w:r>
        <w:t>格式</w:t>
      </w:r>
      <w:r>
        <w:rPr>
          <w:rFonts w:hint="eastAsia"/>
        </w:rPr>
        <w:t>五</w:t>
      </w:r>
      <w:r>
        <w:t>：廉洁诚信承诺书</w:t>
      </w:r>
      <w:bookmarkEnd w:id="444"/>
      <w:bookmarkEnd w:id="445"/>
      <w:bookmarkEnd w:id="446"/>
      <w:bookmarkEnd w:id="447"/>
      <w:bookmarkEnd w:id="448"/>
      <w:bookmarkEnd w:id="449"/>
    </w:p>
    <w:p>
      <w:pPr>
        <w:spacing w:line="220" w:lineRule="atLeast"/>
        <w:ind w:firstLine="643"/>
        <w:jc w:val="center"/>
        <w:rPr>
          <w:rFonts w:ascii="仿宋" w:hAnsi="仿宋" w:eastAsia="仿宋"/>
          <w:b/>
          <w:sz w:val="32"/>
          <w:szCs w:val="32"/>
        </w:rPr>
      </w:pPr>
      <w:bookmarkStart w:id="450" w:name="_Toc25755_WPSOffice_Level2"/>
      <w:bookmarkStart w:id="451" w:name="_Toc10605_WPSOffice_Level2"/>
      <w:bookmarkStart w:id="452" w:name="_Toc18829_WPSOffice_Level2"/>
      <w:bookmarkStart w:id="453" w:name="_Toc18608_WPSOffice_Level2"/>
      <w:bookmarkStart w:id="454" w:name="_Toc31242_WPSOffice_Level2"/>
      <w:bookmarkStart w:id="455" w:name="_Toc7127_WPSOffice_Level2"/>
      <w:bookmarkStart w:id="456" w:name="_Hlk111018861"/>
      <w:bookmarkStart w:id="457" w:name="_Hlk111019968"/>
      <w:r>
        <w:rPr>
          <w:rFonts w:hint="eastAsia" w:ascii="仿宋" w:hAnsi="仿宋" w:eastAsia="仿宋"/>
          <w:b/>
          <w:sz w:val="32"/>
          <w:szCs w:val="32"/>
        </w:rPr>
        <w:t>廉洁诚信承诺书</w:t>
      </w:r>
      <w:bookmarkEnd w:id="450"/>
      <w:bookmarkEnd w:id="451"/>
      <w:bookmarkEnd w:id="452"/>
      <w:bookmarkEnd w:id="453"/>
      <w:bookmarkEnd w:id="454"/>
      <w:bookmarkEnd w:id="455"/>
      <w:bookmarkEnd w:id="456"/>
    </w:p>
    <w:p>
      <w:pPr>
        <w:spacing w:line="560" w:lineRule="exact"/>
        <w:rPr>
          <w:rFonts w:ascii="仿宋" w:hAnsi="仿宋" w:eastAsia="仿宋" w:cs="仿宋"/>
          <w:szCs w:val="24"/>
        </w:rPr>
      </w:pPr>
    </w:p>
    <w:p>
      <w:pPr>
        <w:spacing w:line="560" w:lineRule="exact"/>
        <w:rPr>
          <w:rFonts w:ascii="仿宋" w:hAnsi="仿宋" w:eastAsia="仿宋" w:cs="仿宋"/>
          <w:szCs w:val="24"/>
        </w:rPr>
      </w:pPr>
      <w:r>
        <w:rPr>
          <w:rFonts w:hint="eastAsia" w:ascii="仿宋" w:hAnsi="仿宋" w:eastAsia="仿宋" w:cs="仿宋"/>
          <w:szCs w:val="24"/>
        </w:rPr>
        <w:t>致厦门思明国有控股集团有限公司：</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承诺方系厦门思明国有控股集团有限公司（以下简称“思明控股集团”）的供应商、服务商或合作商，在相关业务活动(包括但不限于交易洽谈、供货、服务、承揽、技术合作交流、付款)中接触思明控股集团相关人员和资讯，在廉洁义务和操守方面做出如下承诺：</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一、自觉遵守国家法律、法规，按照《中国共产党纪律处分条例》、《中华人民共和国反不正当竞争法》、《关于禁止商业贿赂行为的暂行规定》、《中华人民共和国招响应法》以及有关要求进行各项业务活动。</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二、不向思明控股集团的工作人员及其亲属馈赠礼金、礼品（含有价证券）；不向思明控股集团的工作人员提供任何应由其个人支付报酬的劳务和其它服务；不为思明控股集团的工作人员安排可能影响公正执行公务的任何活动；不为思明控股集团的工作人员支付应由其个人支付的任何赞助费、宣传费、咨询费、劳务费等；不为思明控股集团工作人员报销任何名义的个人消费凭证。一经发现有上述行为，采购人有权取消成交资格。</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三、不与其他经营者串通报价和响应，不排挤其他经营者的公平竞争，损害其他经营者的合法权益；不在工程建设的预决算编制工作中弄虚作假、高估冒算。</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四、承诺方在与思明控股集团达成和交易履行过程中，提供的资质证明、证照、企业及个人资料、住所、产品名称、规格、品质、服务标准、票据、权证、权利限制均为真实，不存在虚假、期满、伪造、变造行为，如上述情况发生变更，承诺方需在5个工作日内通知思明控股集团备案存档。</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五、承诺方同意思明控股集团依其保密制度所划列的机密资料可包括一切关于思明控股集团，无论是否有价值，被公开或正在采取保密措施的书面、口头或以其他形式呈现、保存之资讯、承诺方与接受机密资料贰年内均有保密义务，未经思明控股集团同意不得利用或向任何第三方泄露、交付。</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六、为净化采购相关秩序及环境，可至思明控股集团进行投诉或申报。</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七、违约责任</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承诺方承诺如违反本承诺书所述任何义务，无论是否给思明控股集团造成损失，承诺方将承担一切责任，并就思明控股集团实际造成的经济、名誉损失进行赔偿。思明控股集团有权解除双方合同并不负任何违约责任，有权从应付承诺方账款中扣罚，并可采用法律手段索赔。</w:t>
      </w:r>
    </w:p>
    <w:p>
      <w:pPr>
        <w:spacing w:line="560" w:lineRule="exact"/>
        <w:ind w:left="-405" w:leftChars="-193" w:firstLine="480"/>
        <w:rPr>
          <w:rFonts w:ascii="仿宋" w:hAnsi="仿宋" w:eastAsia="仿宋" w:cs="仿宋"/>
          <w:szCs w:val="24"/>
        </w:rPr>
      </w:pPr>
      <w:r>
        <w:rPr>
          <w:rFonts w:hint="eastAsia" w:ascii="仿宋" w:hAnsi="仿宋" w:eastAsia="仿宋" w:cs="仿宋"/>
          <w:szCs w:val="24"/>
        </w:rPr>
        <w:t>八、自觉接受监督。</w:t>
      </w:r>
    </w:p>
    <w:p>
      <w:pPr>
        <w:spacing w:line="560" w:lineRule="exact"/>
        <w:ind w:firstLine="480"/>
        <w:rPr>
          <w:rFonts w:ascii="仿宋" w:hAnsi="仿宋" w:eastAsia="仿宋" w:cs="仿宋"/>
          <w:szCs w:val="24"/>
        </w:rPr>
      </w:pPr>
      <w:r>
        <w:rPr>
          <w:rFonts w:hint="eastAsia" w:ascii="仿宋" w:hAnsi="仿宋" w:eastAsia="仿宋" w:cs="仿宋"/>
          <w:szCs w:val="24"/>
        </w:rPr>
        <w:t>特此承诺。</w:t>
      </w:r>
    </w:p>
    <w:p>
      <w:pPr>
        <w:spacing w:line="560" w:lineRule="exact"/>
        <w:ind w:left="-105" w:leftChars="-50" w:firstLine="480"/>
        <w:jc w:val="center"/>
        <w:rPr>
          <w:rFonts w:ascii="仿宋" w:hAnsi="仿宋" w:eastAsia="仿宋" w:cs="仿宋"/>
          <w:szCs w:val="24"/>
        </w:rPr>
      </w:pPr>
    </w:p>
    <w:p>
      <w:pPr>
        <w:spacing w:line="560" w:lineRule="exact"/>
        <w:ind w:left="-105" w:leftChars="-50" w:firstLine="480"/>
        <w:jc w:val="center"/>
        <w:rPr>
          <w:rFonts w:ascii="仿宋" w:hAnsi="仿宋" w:eastAsia="仿宋" w:cs="仿宋"/>
          <w:szCs w:val="24"/>
        </w:rPr>
      </w:pPr>
    </w:p>
    <w:p>
      <w:pPr>
        <w:spacing w:line="560" w:lineRule="exact"/>
        <w:ind w:left="-105" w:leftChars="-50" w:firstLine="480"/>
        <w:jc w:val="center"/>
        <w:rPr>
          <w:rFonts w:ascii="仿宋" w:hAnsi="仿宋" w:eastAsia="仿宋" w:cs="仿宋"/>
          <w:szCs w:val="24"/>
        </w:rPr>
      </w:pPr>
      <w:bookmarkStart w:id="458" w:name="_Toc10138_WPSOffice_Level2"/>
      <w:bookmarkStart w:id="459" w:name="_Toc18158_WPSOffice_Level2"/>
      <w:bookmarkStart w:id="460" w:name="_Toc4044_WPSOffice_Level2"/>
      <w:bookmarkStart w:id="461" w:name="_Toc14951_WPSOffice_Level2"/>
      <w:r>
        <w:rPr>
          <w:rFonts w:hint="eastAsia" w:ascii="仿宋" w:hAnsi="仿宋" w:eastAsia="仿宋" w:cs="仿宋"/>
          <w:szCs w:val="24"/>
        </w:rPr>
        <w:t>承诺人（响应供应商）名称（盖章）：</w:t>
      </w:r>
      <w:bookmarkEnd w:id="458"/>
      <w:bookmarkEnd w:id="459"/>
      <w:bookmarkEnd w:id="460"/>
      <w:bookmarkEnd w:id="461"/>
    </w:p>
    <w:p>
      <w:pPr>
        <w:spacing w:line="560" w:lineRule="exact"/>
        <w:ind w:left="-105" w:leftChars="-50" w:firstLine="480"/>
        <w:jc w:val="center"/>
        <w:rPr>
          <w:rFonts w:ascii="仿宋" w:hAnsi="仿宋" w:eastAsia="仿宋" w:cs="仿宋"/>
          <w:szCs w:val="24"/>
        </w:rPr>
      </w:pPr>
      <w:bookmarkStart w:id="462" w:name="_Toc2075_WPSOffice_Level2"/>
      <w:bookmarkStart w:id="463" w:name="_Toc18406_WPSOffice_Level2"/>
      <w:bookmarkStart w:id="464" w:name="_Toc20942_WPSOffice_Level2"/>
      <w:bookmarkStart w:id="465" w:name="_Toc20932_WPSOffice_Level2"/>
      <w:r>
        <w:rPr>
          <w:rFonts w:hint="eastAsia" w:ascii="仿宋" w:hAnsi="仿宋" w:eastAsia="仿宋" w:cs="仿宋"/>
          <w:szCs w:val="24"/>
        </w:rPr>
        <w:t>法定代表人（或响应供应商代表）：</w:t>
      </w:r>
      <w:bookmarkEnd w:id="462"/>
      <w:bookmarkEnd w:id="463"/>
      <w:bookmarkEnd w:id="464"/>
      <w:bookmarkEnd w:id="465"/>
    </w:p>
    <w:p>
      <w:pPr>
        <w:spacing w:line="560" w:lineRule="exact"/>
        <w:ind w:left="3392" w:firstLine="525" w:firstLineChars="250"/>
        <w:rPr>
          <w:rFonts w:ascii="仿宋" w:hAnsi="仿宋" w:eastAsia="仿宋" w:cs="仿宋"/>
          <w:szCs w:val="24"/>
        </w:rPr>
      </w:pPr>
      <w:r>
        <w:rPr>
          <w:rFonts w:hint="eastAsia" w:ascii="仿宋" w:hAnsi="仿宋" w:eastAsia="仿宋" w:cs="仿宋"/>
          <w:szCs w:val="24"/>
        </w:rPr>
        <w:t>日期：</w:t>
      </w:r>
      <w:bookmarkEnd w:id="457"/>
    </w:p>
    <w:p>
      <w:pPr>
        <w:spacing w:line="560" w:lineRule="exact"/>
        <w:ind w:left="3392" w:firstLine="800" w:firstLineChars="250"/>
        <w:rPr>
          <w:rFonts w:ascii="仿宋_GB2312" w:hAnsi="仿宋_GB2312" w:eastAsia="仿宋_GB2312" w:cs="仿宋_GB2312"/>
          <w:color w:val="000000"/>
          <w:sz w:val="32"/>
          <w:szCs w:val="32"/>
        </w:rPr>
      </w:pPr>
    </w:p>
    <w:p>
      <w:pPr>
        <w:spacing w:line="560" w:lineRule="exact"/>
        <w:ind w:left="3392" w:firstLine="800" w:firstLineChars="250"/>
        <w:rPr>
          <w:rFonts w:ascii="仿宋_GB2312" w:hAnsi="仿宋_GB2312" w:eastAsia="仿宋_GB2312" w:cs="仿宋_GB2312"/>
          <w:sz w:val="32"/>
          <w:szCs w:val="32"/>
        </w:rPr>
      </w:pPr>
    </w:p>
    <w:p>
      <w:pPr>
        <w:ind w:firstLine="480"/>
      </w:pPr>
    </w:p>
    <w:p>
      <w:pPr>
        <w:ind w:firstLine="480"/>
      </w:pPr>
    </w:p>
    <w:p>
      <w:pPr>
        <w:spacing w:line="500" w:lineRule="exact"/>
        <w:ind w:firstLine="480" w:firstLineChars="200"/>
        <w:jc w:val="left"/>
        <w:rPr>
          <w:rFonts w:ascii="宋体" w:hAnsi="宋体"/>
          <w:color w:val="000000"/>
          <w:sz w:val="24"/>
          <w:szCs w:val="24"/>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pStyle w:val="46"/>
        <w:spacing w:before="312" w:after="156"/>
      </w:pPr>
      <w:bookmarkStart w:id="466" w:name="_Toc32622_WPSOffice_Level1"/>
      <w:bookmarkStart w:id="467" w:name="_Toc4646_WPSOffice_Level1"/>
      <w:bookmarkStart w:id="468" w:name="_Toc4653_WPSOffice_Level1"/>
      <w:bookmarkStart w:id="469" w:name="_Toc29847"/>
      <w:bookmarkStart w:id="470" w:name="_Toc30575_WPSOffice_Level1"/>
      <w:bookmarkStart w:id="471" w:name="_Toc28193_WPSOffice_Level1"/>
      <w:r>
        <w:t>格式</w:t>
      </w:r>
      <w:r>
        <w:rPr>
          <w:rFonts w:hint="eastAsia"/>
        </w:rPr>
        <w:t>六</w:t>
      </w:r>
      <w:r>
        <w:t>：售后服务承诺函</w:t>
      </w:r>
      <w:bookmarkEnd w:id="466"/>
      <w:bookmarkEnd w:id="467"/>
      <w:bookmarkEnd w:id="468"/>
      <w:bookmarkEnd w:id="469"/>
      <w:bookmarkEnd w:id="470"/>
      <w:bookmarkEnd w:id="471"/>
    </w:p>
    <w:p>
      <w:pPr>
        <w:spacing w:line="560" w:lineRule="exact"/>
        <w:jc w:val="center"/>
        <w:rPr>
          <w:rFonts w:ascii="仿宋_GB2312" w:hAnsi="仿宋_GB2312" w:eastAsia="仿宋_GB2312" w:cs="仿宋_GB2312"/>
          <w:b/>
          <w:bCs/>
          <w:sz w:val="32"/>
          <w:szCs w:val="32"/>
        </w:rPr>
      </w:pPr>
      <w:bookmarkStart w:id="472" w:name="_Toc28416_WPSOffice_Level2"/>
      <w:bookmarkStart w:id="473" w:name="_Toc21914_WPSOffice_Level2"/>
      <w:bookmarkStart w:id="474" w:name="_Toc28583_WPSOffice_Level2"/>
      <w:bookmarkStart w:id="475" w:name="_Toc24764_WPSOffice_Level2"/>
      <w:bookmarkStart w:id="476" w:name="_Toc15887_WPSOffice_Level2"/>
      <w:bookmarkStart w:id="477" w:name="_Toc17176_WPSOffice_Level2"/>
      <w:r>
        <w:rPr>
          <w:rFonts w:ascii="仿宋" w:hAnsi="仿宋" w:eastAsia="仿宋"/>
          <w:b/>
          <w:szCs w:val="24"/>
        </w:rPr>
        <w:t>售后服务承诺函</w:t>
      </w:r>
      <w:bookmarkEnd w:id="472"/>
      <w:bookmarkEnd w:id="473"/>
      <w:bookmarkEnd w:id="474"/>
      <w:bookmarkEnd w:id="475"/>
      <w:bookmarkEnd w:id="476"/>
      <w:bookmarkEnd w:id="477"/>
      <w:r>
        <w:rPr>
          <w:rFonts w:ascii="方正小标宋简体" w:hAnsi="方正小标宋简体" w:eastAsia="方正小标宋简体" w:cs="方正小标宋简体"/>
          <w:bCs/>
          <w:sz w:val="44"/>
          <w:szCs w:val="44"/>
        </w:rPr>
        <w:cr/>
      </w:r>
    </w:p>
    <w:p>
      <w:pPr>
        <w:pStyle w:val="2"/>
        <w:tabs>
          <w:tab w:val="left" w:pos="4580"/>
        </w:tabs>
        <w:spacing w:line="500" w:lineRule="exact"/>
        <w:ind w:left="0" w:firstLine="420" w:firstLineChars="200"/>
        <w:rPr>
          <w:rFonts w:ascii="仿宋" w:hAnsi="仿宋" w:eastAsia="仿宋"/>
          <w:szCs w:val="24"/>
        </w:rPr>
      </w:pPr>
      <w:r>
        <w:rPr>
          <w:rFonts w:hint="eastAsia" w:ascii="仿宋" w:hAnsi="仿宋" w:eastAsia="仿宋"/>
          <w:szCs w:val="24"/>
        </w:rPr>
        <w:t>根据思明控股集团员工职涯体系、薪酬体系、绩效与激励办法咨询项目采购文件的要求，我司对该项目做出如下售后服务方案：</w:t>
      </w:r>
    </w:p>
    <w:p>
      <w:pPr>
        <w:pStyle w:val="2"/>
        <w:tabs>
          <w:tab w:val="left" w:pos="4580"/>
        </w:tabs>
        <w:spacing w:line="500" w:lineRule="exact"/>
        <w:ind w:firstLine="630" w:firstLineChars="300"/>
        <w:rPr>
          <w:rFonts w:ascii="仿宋" w:hAnsi="仿宋" w:eastAsia="仿宋"/>
          <w:szCs w:val="24"/>
        </w:rPr>
      </w:pPr>
    </w:p>
    <w:p>
      <w:pPr>
        <w:pStyle w:val="2"/>
        <w:tabs>
          <w:tab w:val="left" w:pos="4580"/>
        </w:tabs>
        <w:spacing w:line="500" w:lineRule="exact"/>
        <w:ind w:left="0"/>
        <w:rPr>
          <w:rFonts w:ascii="仿宋" w:hAnsi="仿宋" w:eastAsia="仿宋"/>
          <w:szCs w:val="24"/>
        </w:rPr>
      </w:pPr>
      <w:r>
        <w:rPr>
          <w:rFonts w:hint="eastAsia" w:ascii="仿宋" w:hAnsi="仿宋" w:eastAsia="仿宋"/>
          <w:szCs w:val="24"/>
        </w:rPr>
        <w:t>（服务内容根据采购文件要求自拟）</w:t>
      </w:r>
    </w:p>
    <w:p>
      <w:pPr>
        <w:pStyle w:val="2"/>
        <w:tabs>
          <w:tab w:val="left" w:pos="4580"/>
        </w:tabs>
        <w:spacing w:line="500" w:lineRule="exact"/>
        <w:ind w:firstLine="630" w:firstLineChars="300"/>
        <w:rPr>
          <w:rFonts w:ascii="仿宋" w:hAnsi="仿宋" w:eastAsia="仿宋"/>
          <w:szCs w:val="24"/>
        </w:rPr>
      </w:pPr>
    </w:p>
    <w:p>
      <w:pPr>
        <w:pStyle w:val="2"/>
        <w:tabs>
          <w:tab w:val="left" w:pos="4580"/>
        </w:tabs>
        <w:spacing w:line="500" w:lineRule="exact"/>
        <w:ind w:firstLine="630" w:firstLineChars="300"/>
        <w:rPr>
          <w:rFonts w:ascii="仿宋" w:hAnsi="仿宋" w:eastAsia="仿宋"/>
          <w:szCs w:val="24"/>
        </w:rPr>
      </w:pPr>
      <w:r>
        <w:rPr>
          <w:rFonts w:hint="eastAsia" w:ascii="仿宋" w:hAnsi="仿宋" w:eastAsia="仿宋"/>
          <w:szCs w:val="24"/>
        </w:rPr>
        <w:tab/>
      </w:r>
    </w:p>
    <w:p>
      <w:pPr>
        <w:pStyle w:val="2"/>
        <w:tabs>
          <w:tab w:val="left" w:pos="4580"/>
        </w:tabs>
        <w:spacing w:line="500" w:lineRule="exact"/>
        <w:ind w:firstLine="630" w:firstLineChars="300"/>
        <w:jc w:val="right"/>
        <w:rPr>
          <w:rFonts w:ascii="仿宋" w:hAnsi="仿宋" w:eastAsia="仿宋"/>
          <w:szCs w:val="24"/>
        </w:rPr>
      </w:pPr>
    </w:p>
    <w:p>
      <w:pPr>
        <w:pStyle w:val="2"/>
        <w:tabs>
          <w:tab w:val="left" w:pos="4580"/>
        </w:tabs>
        <w:spacing w:line="500" w:lineRule="exact"/>
        <w:ind w:firstLine="630" w:firstLineChars="300"/>
        <w:jc w:val="right"/>
        <w:rPr>
          <w:rFonts w:ascii="仿宋" w:hAnsi="仿宋" w:eastAsia="仿宋"/>
          <w:szCs w:val="24"/>
        </w:rPr>
      </w:pPr>
      <w:r>
        <w:rPr>
          <w:rFonts w:hint="eastAsia" w:ascii="仿宋" w:hAnsi="仿宋" w:eastAsia="仿宋"/>
          <w:szCs w:val="24"/>
        </w:rPr>
        <w:t>响应供应商名称：                  （盖单位章）</w:t>
      </w:r>
    </w:p>
    <w:p>
      <w:pPr>
        <w:pStyle w:val="2"/>
        <w:tabs>
          <w:tab w:val="left" w:pos="4580"/>
        </w:tabs>
        <w:spacing w:line="500" w:lineRule="exact"/>
        <w:ind w:firstLine="630" w:firstLineChars="300"/>
        <w:jc w:val="right"/>
        <w:rPr>
          <w:rFonts w:ascii="仿宋" w:hAnsi="仿宋" w:eastAsia="仿宋"/>
          <w:szCs w:val="24"/>
        </w:rPr>
      </w:pPr>
      <w:r>
        <w:rPr>
          <w:rFonts w:hint="eastAsia" w:ascii="仿宋" w:hAnsi="仿宋" w:eastAsia="仿宋"/>
          <w:szCs w:val="24"/>
        </w:rPr>
        <w:t>法定代表人或其委托代理人：       （签字）</w:t>
      </w:r>
    </w:p>
    <w:p>
      <w:pPr>
        <w:pStyle w:val="2"/>
        <w:tabs>
          <w:tab w:val="left" w:pos="4580"/>
        </w:tabs>
        <w:spacing w:line="500" w:lineRule="exact"/>
        <w:ind w:firstLine="630" w:firstLineChars="300"/>
        <w:jc w:val="right"/>
        <w:rPr>
          <w:rFonts w:ascii="仿宋" w:hAnsi="仿宋" w:eastAsia="仿宋"/>
          <w:szCs w:val="24"/>
        </w:rPr>
      </w:pPr>
      <w:r>
        <w:rPr>
          <w:rFonts w:hint="eastAsia" w:ascii="仿宋" w:hAnsi="仿宋" w:eastAsia="仿宋"/>
          <w:szCs w:val="24"/>
        </w:rPr>
        <w:t xml:space="preserve">       年       月       日</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pStyle w:val="2"/>
        <w:rPr>
          <w:rFonts w:ascii="宋体" w:hAnsi="宋体"/>
        </w:rPr>
      </w:pPr>
    </w:p>
    <w:p>
      <w:pPr>
        <w:pStyle w:val="2"/>
        <w:rPr>
          <w:rFonts w:ascii="宋体" w:hAnsi="宋体"/>
        </w:rPr>
      </w:pPr>
    </w:p>
    <w:p>
      <w:pPr>
        <w:pStyle w:val="46"/>
        <w:spacing w:before="312" w:after="156"/>
      </w:pPr>
      <w:bookmarkStart w:id="478" w:name="_Toc15540_WPSOffice_Level1"/>
      <w:bookmarkStart w:id="479" w:name="_Toc17368_WPSOffice_Level1"/>
      <w:bookmarkStart w:id="480" w:name="_Toc14916_WPSOffice_Level1"/>
      <w:bookmarkStart w:id="481" w:name="_Toc10099_WPSOffice_Level1"/>
      <w:bookmarkStart w:id="482" w:name="_Toc11328_WPSOffice_Level1"/>
      <w:r>
        <w:rPr>
          <w:rFonts w:hint="eastAsia"/>
        </w:rPr>
        <w:t>格式七：</w:t>
      </w:r>
      <w:bookmarkEnd w:id="478"/>
      <w:bookmarkEnd w:id="479"/>
      <w:r>
        <w:rPr>
          <w:rFonts w:hint="eastAsia"/>
        </w:rPr>
        <w:t>项目方案</w:t>
      </w:r>
      <w:bookmarkEnd w:id="480"/>
      <w:bookmarkEnd w:id="481"/>
      <w:bookmarkEnd w:id="482"/>
    </w:p>
    <w:p>
      <w:pPr>
        <w:spacing w:line="500" w:lineRule="exact"/>
        <w:ind w:firstLine="480" w:firstLineChars="200"/>
        <w:jc w:val="left"/>
        <w:rPr>
          <w:rFonts w:ascii="宋体" w:hAnsi="宋体"/>
          <w:color w:val="000000"/>
          <w:sz w:val="24"/>
          <w:szCs w:val="24"/>
        </w:rPr>
      </w:pPr>
    </w:p>
    <w:p>
      <w:pPr>
        <w:spacing w:line="500" w:lineRule="exact"/>
        <w:jc w:val="center"/>
        <w:rPr>
          <w:rFonts w:ascii="仿宋" w:hAnsi="仿宋" w:eastAsia="仿宋" w:cs="仿宋"/>
          <w:color w:val="000000"/>
          <w:sz w:val="24"/>
          <w:szCs w:val="24"/>
        </w:rPr>
      </w:pPr>
      <w:bookmarkStart w:id="483" w:name="_Toc10542_WPSOffice_Level1"/>
      <w:bookmarkStart w:id="484" w:name="_Toc10409_WPSOffice_Level1"/>
      <w:bookmarkStart w:id="485" w:name="_Toc9978_WPSOffice_Level1"/>
      <w:bookmarkStart w:id="486" w:name="_Toc17230_WPSOffice_Level1"/>
      <w:r>
        <w:rPr>
          <w:rFonts w:hint="eastAsia" w:ascii="仿宋" w:hAnsi="仿宋" w:eastAsia="仿宋" w:cs="仿宋"/>
          <w:color w:val="000000"/>
          <w:sz w:val="24"/>
          <w:szCs w:val="24"/>
        </w:rPr>
        <w:t>项目方案</w:t>
      </w:r>
      <w:bookmarkEnd w:id="483"/>
      <w:bookmarkEnd w:id="484"/>
      <w:bookmarkEnd w:id="485"/>
      <w:bookmarkEnd w:id="486"/>
    </w:p>
    <w:p>
      <w:pPr>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采购项目名称：________________________</w:t>
      </w: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（响应商自行编写）</w:t>
      </w: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pStyle w:val="2"/>
        <w:tabs>
          <w:tab w:val="left" w:pos="4580"/>
        </w:tabs>
        <w:spacing w:line="500" w:lineRule="exact"/>
        <w:ind w:firstLine="630" w:firstLineChars="300"/>
        <w:jc w:val="right"/>
        <w:rPr>
          <w:rFonts w:ascii="仿宋" w:hAnsi="仿宋" w:eastAsia="仿宋"/>
          <w:szCs w:val="24"/>
        </w:rPr>
      </w:pPr>
      <w:r>
        <w:rPr>
          <w:rFonts w:hint="eastAsia" w:ascii="仿宋" w:hAnsi="仿宋" w:eastAsia="仿宋"/>
          <w:szCs w:val="24"/>
        </w:rPr>
        <w:t>响应供应商名称：                  （盖单位章）</w:t>
      </w:r>
    </w:p>
    <w:p>
      <w:pPr>
        <w:pStyle w:val="2"/>
        <w:tabs>
          <w:tab w:val="left" w:pos="4580"/>
        </w:tabs>
        <w:spacing w:line="500" w:lineRule="exact"/>
        <w:ind w:firstLine="630" w:firstLineChars="300"/>
        <w:jc w:val="center"/>
        <w:rPr>
          <w:rFonts w:ascii="仿宋" w:hAnsi="仿宋" w:eastAsia="仿宋"/>
          <w:szCs w:val="24"/>
        </w:rPr>
      </w:pPr>
      <w:r>
        <w:rPr>
          <w:rFonts w:hint="eastAsia" w:ascii="仿宋" w:hAnsi="仿宋" w:eastAsia="仿宋"/>
          <w:szCs w:val="24"/>
        </w:rPr>
        <w:t>法定代表人或其委托代理人：       （签字）</w:t>
      </w:r>
    </w:p>
    <w:p>
      <w:pPr>
        <w:pStyle w:val="2"/>
        <w:tabs>
          <w:tab w:val="left" w:pos="4580"/>
        </w:tabs>
        <w:spacing w:line="500" w:lineRule="exact"/>
        <w:ind w:firstLine="630" w:firstLineChars="300"/>
        <w:jc w:val="right"/>
        <w:rPr>
          <w:rFonts w:ascii="仿宋" w:hAnsi="仿宋" w:eastAsia="仿宋"/>
          <w:szCs w:val="24"/>
        </w:rPr>
      </w:pPr>
      <w:r>
        <w:rPr>
          <w:rFonts w:hint="eastAsia" w:ascii="仿宋" w:hAnsi="仿宋" w:eastAsia="仿宋"/>
          <w:szCs w:val="24"/>
        </w:rPr>
        <w:t xml:space="preserve">       年    月    日</w:t>
      </w: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spacing w:line="500" w:lineRule="exact"/>
        <w:ind w:firstLine="480" w:firstLineChars="200"/>
        <w:jc w:val="left"/>
        <w:rPr>
          <w:rFonts w:ascii="仿宋" w:hAnsi="仿宋" w:eastAsia="仿宋" w:cs="仿宋"/>
          <w:color w:val="000000"/>
          <w:sz w:val="24"/>
          <w:szCs w:val="24"/>
        </w:rPr>
      </w:pPr>
    </w:p>
    <w:p>
      <w:pPr>
        <w:tabs>
          <w:tab w:val="left" w:pos="1326"/>
        </w:tabs>
        <w:jc w:val="left"/>
        <w:rPr>
          <w:rFonts w:ascii="仿宋" w:hAnsi="仿宋" w:eastAsia="仿宋"/>
          <w:sz w:val="24"/>
          <w:szCs w:val="24"/>
        </w:rPr>
      </w:pPr>
    </w:p>
    <w:sectPr>
      <w:headerReference r:id="rId5" w:type="default"/>
      <w:footerReference r:id="rId6" w:type="default"/>
      <w:pgSz w:w="11850" w:h="16783"/>
      <w:pgMar w:top="1310" w:right="1361" w:bottom="1145" w:left="176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3C0041" w:csb1="A008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1A0F3C52" w:usb2="00000010" w:usb3="00000000" w:csb0="0004001F"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Courier New">
    <w:panose1 w:val="02070409020205090404"/>
    <w:charset w:val="00"/>
    <w:family w:val="modern"/>
    <w:pitch w:val="default"/>
    <w:sig w:usb0="E0000AFF" w:usb1="40007843" w:usb2="00000001" w:usb3="00000000" w:csb0="400001BF" w:csb1="DFF70000"/>
  </w:font>
  <w:font w:name="Times">
    <w:panose1 w:val="00000500000000020000"/>
    <w:charset w:val="00"/>
    <w:family w:val="roman"/>
    <w:pitch w:val="default"/>
    <w:sig w:usb0="E00002FF" w:usb1="5000205A" w:usb2="00000000" w:usb3="00000000" w:csb0="2000019F" w:csb1="4F010000"/>
  </w:font>
  <w:font w:name="MingLiU">
    <w:panose1 w:val="02020509000000000000"/>
    <w:charset w:val="88"/>
    <w:family w:val="modern"/>
    <w:pitch w:val="default"/>
    <w:sig w:usb0="A00002FF" w:usb1="28CFFCFA" w:usb2="00000016" w:usb3="00000000" w:csb0="00100001" w:csb1="00000000"/>
  </w:font>
  <w:font w:name="Lucida Grande">
    <w:panose1 w:val="020B0600040502020204"/>
    <w:charset w:val="00"/>
    <w:family w:val="roman"/>
    <w:pitch w:val="default"/>
    <w:sig w:usb0="E1000AEF" w:usb1="5000A1FF" w:usb2="00000000" w:usb3="00000000" w:csb0="200001BF" w:csb1="4F010000"/>
  </w:font>
  <w:font w:name="ヒラギノ角ゴ Pro W3">
    <w:panose1 w:val="020B0600000000000000"/>
    <w:charset w:val="80"/>
    <w:family w:val="auto"/>
    <w:pitch w:val="default"/>
    <w:sig w:usb0="E00002FF" w:usb1="7AE7FFFF" w:usb2="00000012" w:usb3="00000000" w:csb0="0002000D"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雅丽体">
    <w:panose1 w:val="00000600000000000000"/>
    <w:charset w:val="88"/>
    <w:family w:val="auto"/>
    <w:pitch w:val="default"/>
    <w:sig w:usb0="A00002FF" w:usb1="3ACFFD7A" w:usb2="00000016" w:usb3="00000000" w:csb0="00120005"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7920"/>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7920"/>
        <w:tab w:val="clear" w:pos="4153"/>
        <w:tab w:val="clear" w:pos="8306"/>
      </w:tabs>
      <w:jc w:val="both"/>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 共 </w:t>
                </w:r>
                <w:r>
                  <w:fldChar w:fldCharType="begin"/>
                </w:r>
                <w:r>
                  <w:instrText xml:space="preserve"> NUMPAGES  \* MERGEFORMAT </w:instrText>
                </w:r>
                <w:r>
                  <w:fldChar w:fldCharType="separate"/>
                </w:r>
                <w:r>
                  <w:t>28</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10080"/>
        <w:tab w:val="clear" w:pos="4153"/>
        <w:tab w:val="clear" w:pos="8306"/>
      </w:tabs>
      <w:spacing w:line="20" w:lineRule="exact"/>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10080"/>
        <w:tab w:val="clear" w:pos="4153"/>
        <w:tab w:val="clear" w:pos="8306"/>
      </w:tabs>
    </w:pPr>
    <w:r>
      <w:rPr>
        <w:rFonts w:hint="eastAsia"/>
      </w:rPr>
      <w:t xml:space="preserve">                                       思明控股集团员工职涯体系、薪酬体系、绩效与激励办法咨询项目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640DE"/>
    <w:multiLevelType w:val="singleLevel"/>
    <w:tmpl w:val="A32640DE"/>
    <w:lvl w:ilvl="0" w:tentative="0">
      <w:start w:val="1"/>
      <w:numFmt w:val="decimal"/>
      <w:lvlText w:val="(%1)"/>
      <w:lvlJc w:val="left"/>
      <w:pPr>
        <w:ind w:left="425" w:hanging="425"/>
      </w:pPr>
      <w:rPr>
        <w:rFonts w:hint="default"/>
      </w:rPr>
    </w:lvl>
  </w:abstractNum>
  <w:abstractNum w:abstractNumId="1">
    <w:nsid w:val="EEF916AD"/>
    <w:multiLevelType w:val="singleLevel"/>
    <w:tmpl w:val="EEF916AD"/>
    <w:lvl w:ilvl="0" w:tentative="0">
      <w:start w:val="2"/>
      <w:numFmt w:val="decimal"/>
      <w:suff w:val="nothing"/>
      <w:lvlText w:val="（%1）"/>
      <w:lvlJc w:val="left"/>
    </w:lvl>
  </w:abstractNum>
  <w:abstractNum w:abstractNumId="2">
    <w:nsid w:val="F0928A2E"/>
    <w:multiLevelType w:val="multilevel"/>
    <w:tmpl w:val="F0928A2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CDFF2B7"/>
    <w:multiLevelType w:val="singleLevel"/>
    <w:tmpl w:val="FCDFF2B7"/>
    <w:lvl w:ilvl="0" w:tentative="0">
      <w:start w:val="1"/>
      <w:numFmt w:val="decimal"/>
      <w:lvlText w:val="(%1)"/>
      <w:lvlJc w:val="left"/>
      <w:pPr>
        <w:ind w:left="425" w:hanging="425"/>
      </w:pPr>
      <w:rPr>
        <w:rFonts w:hint="default"/>
      </w:rPr>
    </w:lvl>
  </w:abstractNum>
  <w:abstractNum w:abstractNumId="4">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746B51"/>
    <w:multiLevelType w:val="multilevel"/>
    <w:tmpl w:val="01746B51"/>
    <w:lvl w:ilvl="0" w:tentative="0">
      <w:start w:val="1"/>
      <w:numFmt w:val="bullet"/>
      <w:lvlText w:val=""/>
      <w:lvlJc w:val="left"/>
      <w:pPr>
        <w:ind w:left="1271" w:hanging="420"/>
      </w:pPr>
      <w:rPr>
        <w:rFonts w:hint="default" w:ascii="Symbol" w:hAnsi="Symbol"/>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6">
    <w:nsid w:val="078B1703"/>
    <w:multiLevelType w:val="multilevel"/>
    <w:tmpl w:val="078B1703"/>
    <w:lvl w:ilvl="0" w:tentative="0">
      <w:start w:val="1"/>
      <w:numFmt w:val="bullet"/>
      <w:lvlText w:val=""/>
      <w:lvlJc w:val="left"/>
      <w:pPr>
        <w:ind w:left="1271" w:hanging="420"/>
      </w:pPr>
      <w:rPr>
        <w:rFonts w:hint="default" w:ascii="Symbol" w:hAnsi="Symbol"/>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7">
    <w:nsid w:val="13AB49CA"/>
    <w:multiLevelType w:val="multilevel"/>
    <w:tmpl w:val="13AB49CA"/>
    <w:lvl w:ilvl="0" w:tentative="0">
      <w:start w:val="1"/>
      <w:numFmt w:val="chineseCountingThousand"/>
      <w:pStyle w:val="3"/>
      <w:lvlText w:val="第%1部分 "/>
      <w:lvlJc w:val="left"/>
      <w:rPr>
        <w:rFonts w:hint="eastAsia" w:ascii="方正小标宋简体" w:hAnsi="方正小标宋简体" w:eastAsia="方正小标宋简体" w:cs="方正小标宋简体"/>
        <w:b w:val="0"/>
        <w:bCs/>
        <w:i w:val="0"/>
        <w:iCs w:val="0"/>
        <w:caps w:val="0"/>
        <w:smallCaps w:val="0"/>
        <w:strike w:val="0"/>
        <w:dstrike w:val="0"/>
        <w:vanish w:val="0"/>
        <w:color w:val="000000"/>
        <w:spacing w:val="0"/>
        <w:position w:val="0"/>
        <w:sz w:val="44"/>
        <w:szCs w:val="44"/>
        <w:u w:val="none"/>
        <w:vertAlign w:val="baseline"/>
      </w:rPr>
    </w:lvl>
    <w:lvl w:ilvl="1" w:tentative="0">
      <w:start w:val="1"/>
      <w:numFmt w:val="decimal"/>
      <w:pStyle w:val="4"/>
      <w:isLgl/>
      <w:lvlText w:val="%1.%2"/>
      <w:lvlJc w:val="left"/>
      <w:pPr>
        <w:ind w:left="576" w:hanging="576"/>
      </w:pPr>
      <w:rPr>
        <w:rFonts w:hint="eastAsia"/>
        <w:sz w:val="28"/>
        <w:szCs w:val="28"/>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196A63AC"/>
    <w:multiLevelType w:val="singleLevel"/>
    <w:tmpl w:val="196A63AC"/>
    <w:lvl w:ilvl="0" w:tentative="0">
      <w:start w:val="1"/>
      <w:numFmt w:val="decimal"/>
      <w:lvlText w:val="(%1)"/>
      <w:lvlJc w:val="left"/>
      <w:pPr>
        <w:ind w:left="425" w:hanging="425"/>
      </w:pPr>
      <w:rPr>
        <w:rFonts w:hint="default"/>
      </w:rPr>
    </w:lvl>
  </w:abstractNum>
  <w:abstractNum w:abstractNumId="9">
    <w:nsid w:val="507C63DB"/>
    <w:multiLevelType w:val="multilevel"/>
    <w:tmpl w:val="507C63DB"/>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5594FAD5"/>
    <w:multiLevelType w:val="singleLevel"/>
    <w:tmpl w:val="5594FAD5"/>
    <w:lvl w:ilvl="0" w:tentative="0">
      <w:start w:val="1"/>
      <w:numFmt w:val="decimal"/>
      <w:lvlText w:val="(%1)"/>
      <w:lvlJc w:val="left"/>
      <w:pPr>
        <w:ind w:left="425" w:hanging="425"/>
      </w:pPr>
      <w:rPr>
        <w:rFonts w:hint="default"/>
      </w:rPr>
    </w:lvl>
  </w:abstractNum>
  <w:abstractNum w:abstractNumId="11">
    <w:nsid w:val="5A545FC5"/>
    <w:multiLevelType w:val="singleLevel"/>
    <w:tmpl w:val="5A545FC5"/>
    <w:lvl w:ilvl="0" w:tentative="0">
      <w:start w:val="1"/>
      <w:numFmt w:val="decimal"/>
      <w:lvlText w:val="(%1)"/>
      <w:lvlJc w:val="left"/>
      <w:pPr>
        <w:ind w:left="425" w:hanging="425"/>
      </w:pPr>
      <w:rPr>
        <w:rFonts w:hint="default"/>
      </w:rPr>
    </w:lvl>
  </w:abstractNum>
  <w:abstractNum w:abstractNumId="12">
    <w:nsid w:val="78E047D1"/>
    <w:multiLevelType w:val="singleLevel"/>
    <w:tmpl w:val="78E047D1"/>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12"/>
  </w:num>
  <w:num w:numId="4">
    <w:abstractNumId w:val="10"/>
  </w:num>
  <w:num w:numId="5">
    <w:abstractNumId w:val="5"/>
  </w:num>
  <w:num w:numId="6">
    <w:abstractNumId w:val="8"/>
  </w:num>
  <w:num w:numId="7">
    <w:abstractNumId w:val="0"/>
  </w:num>
  <w:num w:numId="8">
    <w:abstractNumId w:val="3"/>
  </w:num>
  <w:num w:numId="9">
    <w:abstractNumId w:val="11"/>
  </w:num>
  <w:num w:numId="10">
    <w:abstractNumId w:val="1"/>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46F"/>
    <w:rsid w:val="000274DC"/>
    <w:rsid w:val="00082522"/>
    <w:rsid w:val="00086821"/>
    <w:rsid w:val="000F7F6E"/>
    <w:rsid w:val="001073F0"/>
    <w:rsid w:val="00116ED1"/>
    <w:rsid w:val="0014312F"/>
    <w:rsid w:val="00166A59"/>
    <w:rsid w:val="00172A27"/>
    <w:rsid w:val="001814B7"/>
    <w:rsid w:val="001D6B1D"/>
    <w:rsid w:val="001F2834"/>
    <w:rsid w:val="002077BA"/>
    <w:rsid w:val="00227DDB"/>
    <w:rsid w:val="002530F9"/>
    <w:rsid w:val="00253B08"/>
    <w:rsid w:val="0026031C"/>
    <w:rsid w:val="002E6478"/>
    <w:rsid w:val="002F1690"/>
    <w:rsid w:val="00310017"/>
    <w:rsid w:val="00311623"/>
    <w:rsid w:val="003167AF"/>
    <w:rsid w:val="00326F4E"/>
    <w:rsid w:val="00376E16"/>
    <w:rsid w:val="00387B3F"/>
    <w:rsid w:val="003A3165"/>
    <w:rsid w:val="00425A25"/>
    <w:rsid w:val="00434F47"/>
    <w:rsid w:val="00441DE2"/>
    <w:rsid w:val="004F3E84"/>
    <w:rsid w:val="00502EAF"/>
    <w:rsid w:val="005270F0"/>
    <w:rsid w:val="0052767E"/>
    <w:rsid w:val="00563765"/>
    <w:rsid w:val="005A1EEF"/>
    <w:rsid w:val="005A6EA5"/>
    <w:rsid w:val="005C6CB1"/>
    <w:rsid w:val="005F5EAE"/>
    <w:rsid w:val="00613B40"/>
    <w:rsid w:val="006857D3"/>
    <w:rsid w:val="006A7C1B"/>
    <w:rsid w:val="006B3681"/>
    <w:rsid w:val="00705638"/>
    <w:rsid w:val="00717372"/>
    <w:rsid w:val="007615F3"/>
    <w:rsid w:val="007B119F"/>
    <w:rsid w:val="007D5109"/>
    <w:rsid w:val="0081091F"/>
    <w:rsid w:val="00850279"/>
    <w:rsid w:val="00913EF4"/>
    <w:rsid w:val="00946BE0"/>
    <w:rsid w:val="00985F44"/>
    <w:rsid w:val="009963AE"/>
    <w:rsid w:val="009B7DF0"/>
    <w:rsid w:val="009C790B"/>
    <w:rsid w:val="009D2B54"/>
    <w:rsid w:val="009E2385"/>
    <w:rsid w:val="009F1DE1"/>
    <w:rsid w:val="00A21F1D"/>
    <w:rsid w:val="00A45FDB"/>
    <w:rsid w:val="00A71D68"/>
    <w:rsid w:val="00A81452"/>
    <w:rsid w:val="00AA2CC0"/>
    <w:rsid w:val="00AC6512"/>
    <w:rsid w:val="00AD1A58"/>
    <w:rsid w:val="00AD439D"/>
    <w:rsid w:val="00AD73FD"/>
    <w:rsid w:val="00B36136"/>
    <w:rsid w:val="00B81EAD"/>
    <w:rsid w:val="00B85469"/>
    <w:rsid w:val="00BE2479"/>
    <w:rsid w:val="00C05981"/>
    <w:rsid w:val="00C13478"/>
    <w:rsid w:val="00C15624"/>
    <w:rsid w:val="00C60965"/>
    <w:rsid w:val="00C71A18"/>
    <w:rsid w:val="00C95F01"/>
    <w:rsid w:val="00CA1F6F"/>
    <w:rsid w:val="00CD6297"/>
    <w:rsid w:val="00D15568"/>
    <w:rsid w:val="00D171CD"/>
    <w:rsid w:val="00D35E1A"/>
    <w:rsid w:val="00D8557C"/>
    <w:rsid w:val="00DA3487"/>
    <w:rsid w:val="00DE60E8"/>
    <w:rsid w:val="00E17E19"/>
    <w:rsid w:val="00E67052"/>
    <w:rsid w:val="00E811C7"/>
    <w:rsid w:val="00E90437"/>
    <w:rsid w:val="00EE0B25"/>
    <w:rsid w:val="00F110EF"/>
    <w:rsid w:val="00F95271"/>
    <w:rsid w:val="00FC18AF"/>
    <w:rsid w:val="00FC3C0D"/>
    <w:rsid w:val="01C118E3"/>
    <w:rsid w:val="021704AE"/>
    <w:rsid w:val="02A25DA8"/>
    <w:rsid w:val="063601F0"/>
    <w:rsid w:val="07102667"/>
    <w:rsid w:val="07BF75A9"/>
    <w:rsid w:val="093E6660"/>
    <w:rsid w:val="0A883A1A"/>
    <w:rsid w:val="0BB20BEB"/>
    <w:rsid w:val="0CCE5E60"/>
    <w:rsid w:val="0DA24983"/>
    <w:rsid w:val="0DCF4575"/>
    <w:rsid w:val="0E3D59C2"/>
    <w:rsid w:val="0EF2166E"/>
    <w:rsid w:val="0F6235BB"/>
    <w:rsid w:val="13123A42"/>
    <w:rsid w:val="1A0843B7"/>
    <w:rsid w:val="1DE93E13"/>
    <w:rsid w:val="1DEE675A"/>
    <w:rsid w:val="1E7B2688"/>
    <w:rsid w:val="1EE4155B"/>
    <w:rsid w:val="1F686EEA"/>
    <w:rsid w:val="1F7A0EB1"/>
    <w:rsid w:val="205B3112"/>
    <w:rsid w:val="226537D1"/>
    <w:rsid w:val="25170425"/>
    <w:rsid w:val="277956EB"/>
    <w:rsid w:val="27947277"/>
    <w:rsid w:val="2C660D9D"/>
    <w:rsid w:val="330E7752"/>
    <w:rsid w:val="33505EE9"/>
    <w:rsid w:val="33A43A1E"/>
    <w:rsid w:val="34645DAF"/>
    <w:rsid w:val="35823418"/>
    <w:rsid w:val="36F627C0"/>
    <w:rsid w:val="392468AC"/>
    <w:rsid w:val="3A9540E1"/>
    <w:rsid w:val="3B74539C"/>
    <w:rsid w:val="3D8E6B75"/>
    <w:rsid w:val="3F346858"/>
    <w:rsid w:val="40463F18"/>
    <w:rsid w:val="406C4674"/>
    <w:rsid w:val="40986395"/>
    <w:rsid w:val="41BB3F1A"/>
    <w:rsid w:val="442571EA"/>
    <w:rsid w:val="46D25B3A"/>
    <w:rsid w:val="4C085B13"/>
    <w:rsid w:val="4F59021E"/>
    <w:rsid w:val="501E5644"/>
    <w:rsid w:val="511F004C"/>
    <w:rsid w:val="513E4CFB"/>
    <w:rsid w:val="51E43AB4"/>
    <w:rsid w:val="548F2F62"/>
    <w:rsid w:val="55235E12"/>
    <w:rsid w:val="554868A6"/>
    <w:rsid w:val="56C57198"/>
    <w:rsid w:val="57F31482"/>
    <w:rsid w:val="581A335C"/>
    <w:rsid w:val="5970453C"/>
    <w:rsid w:val="5AA365F6"/>
    <w:rsid w:val="5BB91AC3"/>
    <w:rsid w:val="5C9F13E0"/>
    <w:rsid w:val="5D02663E"/>
    <w:rsid w:val="5D3D75B4"/>
    <w:rsid w:val="5D6A55F6"/>
    <w:rsid w:val="5DE04AA3"/>
    <w:rsid w:val="60EC1EDF"/>
    <w:rsid w:val="61D40E10"/>
    <w:rsid w:val="66656E5E"/>
    <w:rsid w:val="693D0B9D"/>
    <w:rsid w:val="6A1272A9"/>
    <w:rsid w:val="6BC01471"/>
    <w:rsid w:val="6D093B56"/>
    <w:rsid w:val="6DD23164"/>
    <w:rsid w:val="730F6040"/>
    <w:rsid w:val="73117F83"/>
    <w:rsid w:val="74E47DF4"/>
    <w:rsid w:val="759712C5"/>
    <w:rsid w:val="75D8724B"/>
    <w:rsid w:val="77E2226B"/>
    <w:rsid w:val="7A120DD1"/>
    <w:rsid w:val="7AFC4314"/>
    <w:rsid w:val="7B853674"/>
    <w:rsid w:val="7E8112E7"/>
    <w:rsid w:val="7F6F29BA"/>
    <w:rsid w:val="E67B5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paragraph" w:styleId="3">
    <w:name w:val="heading 1"/>
    <w:basedOn w:val="1"/>
    <w:next w:val="1"/>
    <w:link w:val="38"/>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33"/>
    <w:qFormat/>
    <w:uiPriority w:val="9"/>
    <w:pPr>
      <w:widowControl w:val="0"/>
      <w:numPr>
        <w:ilvl w:val="1"/>
        <w:numId w:val="1"/>
      </w:numPr>
      <w:tabs>
        <w:tab w:val="left" w:pos="1200"/>
      </w:tabs>
      <w:spacing w:beforeLines="100" w:afterLines="50"/>
      <w:jc w:val="left"/>
      <w:outlineLvl w:val="1"/>
    </w:pPr>
    <w:rPr>
      <w:rFonts w:ascii="Arial" w:hAnsi="Arial" w:eastAsia="黑体" w:cs="Times New Roman"/>
      <w:b/>
      <w:bCs/>
      <w:sz w:val="32"/>
      <w:szCs w:val="32"/>
    </w:rPr>
  </w:style>
  <w:style w:type="paragraph" w:styleId="6">
    <w:name w:val="heading 3"/>
    <w:basedOn w:val="2"/>
    <w:next w:val="2"/>
    <w:link w:val="34"/>
    <w:qFormat/>
    <w:uiPriority w:val="9"/>
    <w:pPr>
      <w:widowControl w:val="0"/>
      <w:numPr>
        <w:ilvl w:val="2"/>
        <w:numId w:val="1"/>
      </w:numPr>
      <w:outlineLvl w:val="2"/>
    </w:pPr>
    <w:rPr>
      <w:rFonts w:ascii="Times New Roman" w:hAnsi="Times New Roman" w:cs="Times New Roman"/>
      <w:b/>
      <w:kern w:val="28"/>
      <w:sz w:val="28"/>
    </w:rPr>
  </w:style>
  <w:style w:type="paragraph" w:styleId="7">
    <w:name w:val="heading 4"/>
    <w:basedOn w:val="1"/>
    <w:next w:val="1"/>
    <w:link w:val="35"/>
    <w:qFormat/>
    <w:uiPriority w:val="9"/>
    <w:pPr>
      <w:widowControl w:val="0"/>
      <w:numPr>
        <w:ilvl w:val="3"/>
        <w:numId w:val="1"/>
      </w:numPr>
      <w:tabs>
        <w:tab w:val="left" w:pos="1200"/>
      </w:tabs>
      <w:outlineLvl w:val="3"/>
    </w:pPr>
    <w:rPr>
      <w:rFonts w:ascii="Times New Roman" w:hAnsi="Times New Roman" w:cs="Times New Roman"/>
      <w:bCs/>
      <w:sz w:val="24"/>
      <w:szCs w:val="24"/>
    </w:rPr>
  </w:style>
  <w:style w:type="paragraph" w:styleId="8">
    <w:name w:val="heading 5"/>
    <w:basedOn w:val="1"/>
    <w:next w:val="1"/>
    <w:link w:val="49"/>
    <w:unhideWhenUsed/>
    <w:qFormat/>
    <w:uiPriority w:val="9"/>
    <w:pPr>
      <w:keepNext/>
      <w:keepLines/>
      <w:widowControl w:val="0"/>
      <w:spacing w:before="280" w:after="290" w:line="376" w:lineRule="auto"/>
      <w:ind w:left="1008"/>
      <w:outlineLvl w:val="4"/>
    </w:pPr>
    <w:rPr>
      <w:b/>
      <w:bCs/>
      <w:sz w:val="24"/>
      <w:szCs w:val="28"/>
    </w:rPr>
  </w:style>
  <w:style w:type="paragraph" w:styleId="9">
    <w:name w:val="heading 6"/>
    <w:basedOn w:val="1"/>
    <w:next w:val="1"/>
    <w:link w:val="50"/>
    <w:unhideWhenUsed/>
    <w:qFormat/>
    <w:uiPriority w:val="9"/>
    <w:pPr>
      <w:keepNext/>
      <w:keepLines/>
      <w:widowControl w:val="0"/>
      <w:spacing w:before="240" w:after="64" w:line="320" w:lineRule="auto"/>
      <w:ind w:left="1152"/>
      <w:outlineLvl w:val="5"/>
    </w:pPr>
    <w:rPr>
      <w:rFonts w:asciiTheme="majorHAnsi" w:hAnsiTheme="majorHAnsi" w:eastAsiaTheme="majorEastAsia" w:cstheme="majorBidi"/>
      <w:b/>
      <w:bCs/>
      <w:sz w:val="24"/>
      <w:szCs w:val="24"/>
    </w:rPr>
  </w:style>
  <w:style w:type="paragraph" w:styleId="10">
    <w:name w:val="heading 7"/>
    <w:basedOn w:val="1"/>
    <w:next w:val="1"/>
    <w:link w:val="51"/>
    <w:unhideWhenUsed/>
    <w:qFormat/>
    <w:uiPriority w:val="9"/>
    <w:pPr>
      <w:keepNext/>
      <w:keepLines/>
      <w:widowControl w:val="0"/>
      <w:spacing w:before="240" w:after="64" w:line="320" w:lineRule="auto"/>
      <w:ind w:left="1296"/>
      <w:outlineLvl w:val="6"/>
    </w:pPr>
    <w:rPr>
      <w:b/>
      <w:bCs/>
      <w:sz w:val="24"/>
      <w:szCs w:val="24"/>
    </w:rPr>
  </w:style>
  <w:style w:type="paragraph" w:styleId="11">
    <w:name w:val="heading 8"/>
    <w:basedOn w:val="1"/>
    <w:next w:val="1"/>
    <w:link w:val="52"/>
    <w:unhideWhenUsed/>
    <w:qFormat/>
    <w:uiPriority w:val="9"/>
    <w:pPr>
      <w:keepNext/>
      <w:keepLines/>
      <w:widowControl w:val="0"/>
      <w:spacing w:before="240" w:after="64" w:line="320" w:lineRule="auto"/>
      <w:ind w:left="1440"/>
      <w:outlineLvl w:val="7"/>
    </w:pPr>
    <w:rPr>
      <w:rFonts w:asciiTheme="majorHAnsi" w:hAnsiTheme="majorHAnsi" w:eastAsiaTheme="majorEastAsia" w:cstheme="majorBidi"/>
      <w:sz w:val="24"/>
      <w:szCs w:val="24"/>
    </w:rPr>
  </w:style>
  <w:style w:type="paragraph" w:styleId="12">
    <w:name w:val="heading 9"/>
    <w:basedOn w:val="1"/>
    <w:next w:val="1"/>
    <w:link w:val="53"/>
    <w:unhideWhenUsed/>
    <w:qFormat/>
    <w:uiPriority w:val="9"/>
    <w:pPr>
      <w:keepNext/>
      <w:keepLines/>
      <w:widowControl w:val="0"/>
      <w:spacing w:before="240" w:after="64" w:line="320" w:lineRule="auto"/>
      <w:ind w:left="1584"/>
      <w:outlineLvl w:val="8"/>
    </w:pPr>
    <w:rPr>
      <w:rFonts w:asciiTheme="majorHAnsi" w:hAnsiTheme="majorHAnsi" w:eastAsiaTheme="majorEastAsia" w:cstheme="majorBidi"/>
      <w:szCs w:val="21"/>
    </w:rPr>
  </w:style>
  <w:style w:type="character" w:default="1" w:styleId="24">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20" w:after="120"/>
      <w:ind w:left="2552"/>
    </w:pPr>
  </w:style>
  <w:style w:type="paragraph" w:styleId="5">
    <w:name w:val="Normal Indent"/>
    <w:basedOn w:val="1"/>
    <w:link w:val="54"/>
    <w:qFormat/>
    <w:uiPriority w:val="0"/>
    <w:pPr>
      <w:ind w:firstLine="420"/>
    </w:pPr>
    <w:rPr>
      <w:rFonts w:ascii="Times New Roman" w:hAnsi="Times New Roman" w:cs="Times New Roman"/>
      <w:lang w:val="zh-CN"/>
    </w:rPr>
  </w:style>
  <w:style w:type="paragraph" w:styleId="13">
    <w:name w:val="annotation subject"/>
    <w:basedOn w:val="14"/>
    <w:next w:val="14"/>
    <w:link w:val="63"/>
    <w:qFormat/>
    <w:uiPriority w:val="0"/>
    <w:rPr>
      <w:b/>
      <w:bCs/>
    </w:rPr>
  </w:style>
  <w:style w:type="paragraph" w:styleId="14">
    <w:name w:val="annotation text"/>
    <w:basedOn w:val="1"/>
    <w:link w:val="62"/>
    <w:qFormat/>
    <w:uiPriority w:val="0"/>
    <w:pPr>
      <w:jc w:val="left"/>
    </w:pPr>
  </w:style>
  <w:style w:type="paragraph" w:styleId="15">
    <w:name w:val="toc 3"/>
    <w:basedOn w:val="1"/>
    <w:next w:val="1"/>
    <w:unhideWhenUsed/>
    <w:qFormat/>
    <w:uiPriority w:val="39"/>
    <w:pPr>
      <w:spacing w:after="100" w:line="276" w:lineRule="auto"/>
      <w:ind w:left="440"/>
      <w:jc w:val="left"/>
    </w:pPr>
    <w:rPr>
      <w:rFonts w:eastAsiaTheme="minorEastAsia"/>
      <w:kern w:val="0"/>
      <w:sz w:val="22"/>
      <w:szCs w:val="22"/>
    </w:rPr>
  </w:style>
  <w:style w:type="paragraph" w:styleId="16">
    <w:name w:val="Plain Text"/>
    <w:basedOn w:val="1"/>
    <w:link w:val="36"/>
    <w:qFormat/>
    <w:uiPriority w:val="0"/>
    <w:pPr>
      <w:overflowPunct w:val="0"/>
      <w:autoSpaceDE w:val="0"/>
      <w:autoSpaceDN w:val="0"/>
      <w:adjustRightInd w:val="0"/>
      <w:jc w:val="left"/>
      <w:textAlignment w:val="baseline"/>
    </w:pPr>
    <w:rPr>
      <w:rFonts w:ascii="宋体" w:hAnsi="Courier New" w:cs="Times New Roman"/>
      <w:kern w:val="0"/>
    </w:rPr>
  </w:style>
  <w:style w:type="paragraph" w:styleId="17">
    <w:name w:val="Balloon Text"/>
    <w:basedOn w:val="1"/>
    <w:link w:val="43"/>
    <w:qFormat/>
    <w:uiPriority w:val="0"/>
    <w:rPr>
      <w:sz w:val="18"/>
      <w:szCs w:val="18"/>
    </w:rPr>
  </w:style>
  <w:style w:type="paragraph" w:styleId="18">
    <w:name w:val="footer"/>
    <w:basedOn w:val="1"/>
    <w:link w:val="31"/>
    <w:qFormat/>
    <w:uiPriority w:val="0"/>
    <w:pPr>
      <w:tabs>
        <w:tab w:val="center" w:pos="4153"/>
        <w:tab w:val="right" w:pos="8306"/>
      </w:tabs>
      <w:snapToGrid w:val="0"/>
      <w:jc w:val="left"/>
    </w:pPr>
    <w:rPr>
      <w:sz w:val="18"/>
      <w:szCs w:val="18"/>
    </w:rPr>
  </w:style>
  <w:style w:type="paragraph" w:styleId="19">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100" w:line="276" w:lineRule="auto"/>
      <w:jc w:val="left"/>
    </w:pPr>
    <w:rPr>
      <w:rFonts w:eastAsiaTheme="minorEastAsia"/>
      <w:kern w:val="0"/>
      <w:sz w:val="22"/>
      <w:szCs w:val="22"/>
    </w:rPr>
  </w:style>
  <w:style w:type="paragraph" w:styleId="21">
    <w:name w:val="toc 2"/>
    <w:basedOn w:val="1"/>
    <w:next w:val="1"/>
    <w:unhideWhenUsed/>
    <w:qFormat/>
    <w:uiPriority w:val="39"/>
    <w:pPr>
      <w:spacing w:after="100" w:line="276" w:lineRule="auto"/>
      <w:ind w:left="220"/>
      <w:jc w:val="left"/>
    </w:pPr>
    <w:rPr>
      <w:rFonts w:eastAsiaTheme="minorEastAsia"/>
      <w:kern w:val="0"/>
      <w:sz w:val="22"/>
      <w:szCs w:val="22"/>
    </w:rPr>
  </w:style>
  <w:style w:type="paragraph" w:styleId="22">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paragraph" w:styleId="23">
    <w:name w:val="index 1"/>
    <w:basedOn w:val="1"/>
    <w:next w:val="1"/>
    <w:qFormat/>
    <w:uiPriority w:val="0"/>
    <w:pPr>
      <w:spacing w:line="300" w:lineRule="auto"/>
    </w:pPr>
    <w:rPr>
      <w:rFonts w:ascii="Times New Roman" w:hAnsi="Times New Roman" w:cs="Times New Roman"/>
    </w:rPr>
  </w:style>
  <w:style w:type="character" w:styleId="25">
    <w:name w:val="Strong"/>
    <w:basedOn w:val="24"/>
    <w:qFormat/>
    <w:uiPriority w:val="22"/>
    <w:rPr>
      <w:b/>
      <w:bCs/>
    </w:rPr>
  </w:style>
  <w:style w:type="character" w:styleId="26">
    <w:name w:val="Hyperlink"/>
    <w:basedOn w:val="24"/>
    <w:qFormat/>
    <w:uiPriority w:val="0"/>
    <w:rPr>
      <w:color w:val="0563C1" w:themeColor="hyperlink"/>
      <w:u w:val="single"/>
    </w:rPr>
  </w:style>
  <w:style w:type="character" w:styleId="27">
    <w:name w:val="annotation reference"/>
    <w:basedOn w:val="24"/>
    <w:qFormat/>
    <w:uiPriority w:val="0"/>
    <w:rPr>
      <w:sz w:val="21"/>
      <w:szCs w:val="21"/>
    </w:rPr>
  </w:style>
  <w:style w:type="paragraph" w:customStyle="1" w:styleId="29">
    <w:name w:val="Default"/>
    <w:unhideWhenUsed/>
    <w:qFormat/>
    <w:uiPriority w:val="0"/>
    <w:pPr>
      <w:widowControl w:val="0"/>
      <w:autoSpaceDE w:val="0"/>
      <w:autoSpaceDN w:val="0"/>
      <w:adjustRightInd w:val="0"/>
    </w:pPr>
    <w:rPr>
      <w:rFonts w:hint="eastAsia" w:ascii="宋体" w:hAnsi="宋体" w:eastAsia="宋体" w:cstheme="minorBidi"/>
      <w:color w:val="000000"/>
      <w:sz w:val="24"/>
      <w:lang w:val="en-US" w:eastAsia="zh-CN" w:bidi="ar-SA"/>
    </w:rPr>
  </w:style>
  <w:style w:type="character" w:customStyle="1" w:styleId="30">
    <w:name w:val="页眉 Char"/>
    <w:basedOn w:val="24"/>
    <w:link w:val="19"/>
    <w:qFormat/>
    <w:uiPriority w:val="0"/>
    <w:rPr>
      <w:rFonts w:asciiTheme="minorHAnsi" w:hAnsiTheme="minorHAnsi" w:cstheme="minorBidi"/>
      <w:kern w:val="2"/>
      <w:sz w:val="18"/>
      <w:szCs w:val="18"/>
    </w:rPr>
  </w:style>
  <w:style w:type="character" w:customStyle="1" w:styleId="31">
    <w:name w:val="页脚 Char"/>
    <w:basedOn w:val="24"/>
    <w:link w:val="18"/>
    <w:qFormat/>
    <w:uiPriority w:val="0"/>
    <w:rPr>
      <w:rFonts w:asciiTheme="minorHAnsi" w:hAnsiTheme="minorHAnsi" w:cstheme="minorBidi"/>
      <w:kern w:val="2"/>
      <w:sz w:val="18"/>
      <w:szCs w:val="18"/>
    </w:rPr>
  </w:style>
  <w:style w:type="paragraph" w:customStyle="1" w:styleId="32">
    <w:name w:val="List Paragraph"/>
    <w:basedOn w:val="1"/>
    <w:link w:val="44"/>
    <w:unhideWhenUsed/>
    <w:qFormat/>
    <w:uiPriority w:val="34"/>
    <w:pPr>
      <w:ind w:firstLine="420" w:firstLineChars="200"/>
    </w:pPr>
  </w:style>
  <w:style w:type="character" w:customStyle="1" w:styleId="33">
    <w:name w:val="标题 2 Char"/>
    <w:basedOn w:val="24"/>
    <w:link w:val="4"/>
    <w:qFormat/>
    <w:uiPriority w:val="0"/>
    <w:rPr>
      <w:rFonts w:ascii="Arial" w:hAnsi="Arial" w:eastAsia="黑体"/>
      <w:b/>
      <w:bCs/>
      <w:kern w:val="2"/>
      <w:sz w:val="32"/>
      <w:szCs w:val="32"/>
    </w:rPr>
  </w:style>
  <w:style w:type="character" w:customStyle="1" w:styleId="34">
    <w:name w:val="标题 3 Char"/>
    <w:basedOn w:val="24"/>
    <w:link w:val="6"/>
    <w:qFormat/>
    <w:uiPriority w:val="0"/>
    <w:rPr>
      <w:b/>
      <w:kern w:val="28"/>
      <w:sz w:val="28"/>
    </w:rPr>
  </w:style>
  <w:style w:type="character" w:customStyle="1" w:styleId="35">
    <w:name w:val="标题 4 Char"/>
    <w:basedOn w:val="24"/>
    <w:link w:val="7"/>
    <w:qFormat/>
    <w:uiPriority w:val="0"/>
    <w:rPr>
      <w:bCs/>
      <w:kern w:val="2"/>
      <w:sz w:val="24"/>
      <w:szCs w:val="24"/>
    </w:rPr>
  </w:style>
  <w:style w:type="character" w:customStyle="1" w:styleId="36">
    <w:name w:val="纯文本 Char"/>
    <w:basedOn w:val="24"/>
    <w:link w:val="16"/>
    <w:qFormat/>
    <w:uiPriority w:val="0"/>
    <w:rPr>
      <w:rFonts w:ascii="宋体" w:hAnsi="Courier New"/>
      <w:sz w:val="21"/>
    </w:rPr>
  </w:style>
  <w:style w:type="paragraph" w:customStyle="1" w:styleId="37">
    <w:name w:val="zw"/>
    <w:basedOn w:val="1"/>
    <w:qFormat/>
    <w:uiPriority w:val="0"/>
    <w:pPr>
      <w:widowControl w:val="0"/>
      <w:spacing w:beforeLines="50" w:afterLines="50"/>
      <w:ind w:left="500" w:firstLine="200" w:firstLineChars="200"/>
    </w:pPr>
    <w:rPr>
      <w:rFonts w:ascii="Times New Roman" w:hAnsi="Times New Roman" w:cs="Times New Roman"/>
    </w:rPr>
  </w:style>
  <w:style w:type="character" w:customStyle="1" w:styleId="38">
    <w:name w:val="标题 1 Char"/>
    <w:basedOn w:val="24"/>
    <w:link w:val="3"/>
    <w:qFormat/>
    <w:uiPriority w:val="9"/>
    <w:rPr>
      <w:rFonts w:asciiTheme="minorHAnsi" w:hAnsiTheme="minorHAnsi" w:cstheme="minorBidi"/>
      <w:b/>
      <w:bCs/>
      <w:kern w:val="44"/>
      <w:sz w:val="44"/>
      <w:szCs w:val="44"/>
    </w:rPr>
  </w:style>
  <w:style w:type="paragraph" w:customStyle="1" w:styleId="39">
    <w:name w:val="图表左对齐"/>
    <w:basedOn w:val="1"/>
    <w:qFormat/>
    <w:uiPriority w:val="0"/>
    <w:pPr>
      <w:spacing w:line="360" w:lineRule="exact"/>
      <w:jc w:val="left"/>
    </w:pPr>
    <w:rPr>
      <w:spacing w:val="-10"/>
      <w:szCs w:val="28"/>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3">
    <w:name w:val="批注框文本 Char"/>
    <w:basedOn w:val="24"/>
    <w:link w:val="17"/>
    <w:qFormat/>
    <w:uiPriority w:val="0"/>
    <w:rPr>
      <w:rFonts w:asciiTheme="minorHAnsi" w:hAnsiTheme="minorHAnsi" w:cstheme="minorBidi"/>
      <w:kern w:val="2"/>
      <w:sz w:val="18"/>
      <w:szCs w:val="18"/>
    </w:rPr>
  </w:style>
  <w:style w:type="character" w:customStyle="1" w:styleId="44">
    <w:name w:val="列出段落 Char"/>
    <w:basedOn w:val="24"/>
    <w:link w:val="32"/>
    <w:qFormat/>
    <w:uiPriority w:val="34"/>
    <w:rPr>
      <w:rFonts w:asciiTheme="minorHAnsi" w:hAnsiTheme="minorHAnsi" w:cstheme="minorBidi"/>
      <w:kern w:val="2"/>
      <w:sz w:val="21"/>
    </w:rPr>
  </w:style>
  <w:style w:type="paragraph" w:customStyle="1" w:styleId="45">
    <w:name w:val="TOC 标题1"/>
    <w:basedOn w:val="3"/>
    <w:next w:val="1"/>
    <w:unhideWhenUsed/>
    <w:qFormat/>
    <w:uiPriority w:val="39"/>
    <w:pPr>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46">
    <w:name w:val="节"/>
    <w:basedOn w:val="4"/>
    <w:qFormat/>
    <w:uiPriority w:val="0"/>
    <w:pPr>
      <w:numPr>
        <w:ilvl w:val="0"/>
        <w:numId w:val="0"/>
      </w:numPr>
      <w:tabs>
        <w:tab w:val="left" w:pos="576"/>
        <w:tab w:val="clear" w:pos="1200"/>
      </w:tabs>
      <w:ind w:left="576" w:hanging="576"/>
    </w:pPr>
  </w:style>
  <w:style w:type="character" w:customStyle="1" w:styleId="47">
    <w:name w:val="style21"/>
    <w:qFormat/>
    <w:uiPriority w:val="0"/>
    <w:rPr>
      <w:sz w:val="22"/>
    </w:rPr>
  </w:style>
  <w:style w:type="paragraph" w:customStyle="1" w:styleId="48">
    <w:name w:val="1"/>
    <w:basedOn w:val="1"/>
    <w:next w:val="5"/>
    <w:qFormat/>
    <w:uiPriority w:val="0"/>
    <w:pPr>
      <w:ind w:firstLine="480"/>
    </w:pPr>
    <w:rPr>
      <w:rFonts w:ascii="宋体" w:hAnsi="Arial" w:cs="Times New Roman"/>
      <w:szCs w:val="21"/>
    </w:rPr>
  </w:style>
  <w:style w:type="character" w:customStyle="1" w:styleId="49">
    <w:name w:val="标题 5 Char"/>
    <w:basedOn w:val="24"/>
    <w:link w:val="8"/>
    <w:qFormat/>
    <w:uiPriority w:val="9"/>
    <w:rPr>
      <w:rFonts w:asciiTheme="minorHAnsi" w:hAnsiTheme="minorHAnsi" w:cstheme="minorBidi"/>
      <w:b/>
      <w:bCs/>
      <w:kern w:val="2"/>
      <w:sz w:val="24"/>
      <w:szCs w:val="28"/>
    </w:rPr>
  </w:style>
  <w:style w:type="character" w:customStyle="1" w:styleId="50">
    <w:name w:val="标题 6 Char"/>
    <w:basedOn w:val="24"/>
    <w:link w:val="9"/>
    <w:semiHidden/>
    <w:qFormat/>
    <w:uiPriority w:val="9"/>
    <w:rPr>
      <w:rFonts w:asciiTheme="majorHAnsi" w:hAnsiTheme="majorHAnsi" w:eastAsiaTheme="majorEastAsia" w:cstheme="majorBidi"/>
      <w:b/>
      <w:bCs/>
      <w:kern w:val="2"/>
      <w:sz w:val="24"/>
      <w:szCs w:val="24"/>
    </w:rPr>
  </w:style>
  <w:style w:type="character" w:customStyle="1" w:styleId="51">
    <w:name w:val="标题 7 Char"/>
    <w:basedOn w:val="24"/>
    <w:link w:val="10"/>
    <w:semiHidden/>
    <w:qFormat/>
    <w:uiPriority w:val="9"/>
    <w:rPr>
      <w:rFonts w:asciiTheme="minorHAnsi" w:hAnsiTheme="minorHAnsi" w:cstheme="minorBidi"/>
      <w:b/>
      <w:bCs/>
      <w:kern w:val="2"/>
      <w:sz w:val="24"/>
      <w:szCs w:val="24"/>
    </w:rPr>
  </w:style>
  <w:style w:type="character" w:customStyle="1" w:styleId="52">
    <w:name w:val="标题 8 Char"/>
    <w:basedOn w:val="24"/>
    <w:link w:val="11"/>
    <w:semiHidden/>
    <w:qFormat/>
    <w:uiPriority w:val="9"/>
    <w:rPr>
      <w:rFonts w:asciiTheme="majorHAnsi" w:hAnsiTheme="majorHAnsi" w:eastAsiaTheme="majorEastAsia" w:cstheme="majorBidi"/>
      <w:kern w:val="2"/>
      <w:sz w:val="24"/>
      <w:szCs w:val="24"/>
    </w:rPr>
  </w:style>
  <w:style w:type="character" w:customStyle="1" w:styleId="53">
    <w:name w:val="标题 9 Char"/>
    <w:basedOn w:val="24"/>
    <w:link w:val="12"/>
    <w:semiHidden/>
    <w:qFormat/>
    <w:uiPriority w:val="9"/>
    <w:rPr>
      <w:rFonts w:asciiTheme="majorHAnsi" w:hAnsiTheme="majorHAnsi" w:eastAsiaTheme="majorEastAsia" w:cstheme="majorBidi"/>
      <w:kern w:val="2"/>
      <w:sz w:val="21"/>
      <w:szCs w:val="21"/>
    </w:rPr>
  </w:style>
  <w:style w:type="character" w:customStyle="1" w:styleId="54">
    <w:name w:val="正文缩进 Char"/>
    <w:link w:val="5"/>
    <w:qFormat/>
    <w:locked/>
    <w:uiPriority w:val="0"/>
    <w:rPr>
      <w:kern w:val="2"/>
      <w:sz w:val="21"/>
      <w:lang w:val="zh-CN"/>
    </w:rPr>
  </w:style>
  <w:style w:type="paragraph" w:customStyle="1" w:styleId="55">
    <w:name w:val="样式3"/>
    <w:basedOn w:val="16"/>
    <w:qFormat/>
    <w:uiPriority w:val="0"/>
    <w:pPr>
      <w:widowControl w:val="0"/>
      <w:overflowPunct/>
      <w:autoSpaceDE/>
      <w:autoSpaceDN/>
      <w:adjustRightInd/>
      <w:spacing w:line="0" w:lineRule="atLeast"/>
      <w:jc w:val="both"/>
      <w:textAlignment w:val="auto"/>
      <w:outlineLvl w:val="0"/>
    </w:pPr>
    <w:rPr>
      <w:rFonts w:eastAsiaTheme="minorEastAsia"/>
      <w:kern w:val="2"/>
      <w:sz w:val="28"/>
    </w:rPr>
  </w:style>
  <w:style w:type="paragraph" w:customStyle="1" w:styleId="56">
    <w:name w:val="表格文字"/>
    <w:basedOn w:val="1"/>
    <w:qFormat/>
    <w:uiPriority w:val="0"/>
    <w:pPr>
      <w:spacing w:before="25" w:after="25" w:line="360" w:lineRule="auto"/>
      <w:ind w:firstLine="200" w:firstLineChars="200"/>
      <w:jc w:val="left"/>
    </w:pPr>
    <w:rPr>
      <w:rFonts w:ascii="Times" w:hAnsi="Times"/>
      <w:bCs/>
      <w:spacing w:val="10"/>
      <w:kern w:val="0"/>
      <w:sz w:val="24"/>
      <w:szCs w:val="22"/>
    </w:rPr>
  </w:style>
  <w:style w:type="character" w:customStyle="1" w:styleId="57">
    <w:name w:val="正文文本 (2)_"/>
    <w:basedOn w:val="24"/>
    <w:link w:val="58"/>
    <w:qFormat/>
    <w:uiPriority w:val="0"/>
    <w:rPr>
      <w:rFonts w:ascii="MingLiU" w:hAnsi="MingLiU" w:eastAsia="MingLiU" w:cs="MingLiU"/>
      <w:sz w:val="46"/>
      <w:szCs w:val="46"/>
      <w:shd w:val="clear" w:color="auto" w:fill="FFFFFF"/>
      <w:lang w:val="zh-CN" w:bidi="zh-CN"/>
    </w:rPr>
  </w:style>
  <w:style w:type="paragraph" w:customStyle="1" w:styleId="58">
    <w:name w:val="正文文本 (2)"/>
    <w:basedOn w:val="1"/>
    <w:link w:val="57"/>
    <w:qFormat/>
    <w:uiPriority w:val="0"/>
    <w:pPr>
      <w:widowControl w:val="0"/>
      <w:shd w:val="clear" w:color="auto" w:fill="FFFFFF"/>
      <w:spacing w:after="1160"/>
      <w:ind w:left="1780"/>
      <w:jc w:val="left"/>
    </w:pPr>
    <w:rPr>
      <w:rFonts w:ascii="MingLiU" w:hAnsi="MingLiU" w:eastAsia="MingLiU" w:cs="MingLiU"/>
      <w:kern w:val="0"/>
      <w:sz w:val="46"/>
      <w:szCs w:val="46"/>
      <w:lang w:val="zh-CN" w:bidi="zh-CN"/>
    </w:rPr>
  </w:style>
  <w:style w:type="paragraph" w:customStyle="1" w:styleId="59">
    <w:name w:val="列出段落1"/>
    <w:qFormat/>
    <w:uiPriority w:val="0"/>
    <w:pPr>
      <w:widowControl w:val="0"/>
      <w:ind w:firstLine="420"/>
      <w:jc w:val="both"/>
    </w:pPr>
    <w:rPr>
      <w:rFonts w:ascii="Lucida Grande" w:hAnsi="Lucida Grande" w:eastAsia="ヒラギノ角ゴ Pro W3" w:cs="Times New Roman"/>
      <w:color w:val="000000"/>
      <w:kern w:val="2"/>
      <w:sz w:val="21"/>
      <w:lang w:val="en-US" w:eastAsia="zh-CN" w:bidi="ar-SA"/>
    </w:rPr>
  </w:style>
  <w:style w:type="paragraph" w:customStyle="1" w:styleId="60">
    <w:name w:val="列表段落1"/>
    <w:basedOn w:val="1"/>
    <w:qFormat/>
    <w:uiPriority w:val="34"/>
    <w:pPr>
      <w:widowControl w:val="0"/>
      <w:spacing w:line="360" w:lineRule="auto"/>
      <w:ind w:firstLine="420" w:firstLineChars="200"/>
    </w:pPr>
    <w:rPr>
      <w:sz w:val="24"/>
      <w:szCs w:val="22"/>
    </w:rPr>
  </w:style>
  <w:style w:type="paragraph" w:customStyle="1" w:styleId="61">
    <w:name w:val="修订1"/>
    <w:hidden/>
    <w:semiHidden/>
    <w:qFormat/>
    <w:uiPriority w:val="99"/>
    <w:rPr>
      <w:rFonts w:eastAsia="宋体" w:asciiTheme="minorHAnsi" w:hAnsiTheme="minorHAnsi" w:cstheme="minorBidi"/>
      <w:kern w:val="2"/>
      <w:sz w:val="21"/>
      <w:lang w:val="en-US" w:eastAsia="zh-CN" w:bidi="ar-SA"/>
    </w:rPr>
  </w:style>
  <w:style w:type="character" w:customStyle="1" w:styleId="62">
    <w:name w:val="批注文字 Char"/>
    <w:basedOn w:val="24"/>
    <w:link w:val="14"/>
    <w:qFormat/>
    <w:uiPriority w:val="0"/>
    <w:rPr>
      <w:rFonts w:eastAsia="宋体" w:asciiTheme="minorHAnsi" w:hAnsiTheme="minorHAnsi" w:cstheme="minorBidi"/>
      <w:kern w:val="2"/>
      <w:sz w:val="21"/>
    </w:rPr>
  </w:style>
  <w:style w:type="character" w:customStyle="1" w:styleId="63">
    <w:name w:val="批注主题 Char"/>
    <w:basedOn w:val="62"/>
    <w:link w:val="13"/>
    <w:qFormat/>
    <w:uiPriority w:val="0"/>
    <w:rPr>
      <w:rFonts w:eastAsia="宋体" w:asciiTheme="minorHAnsi" w:hAnsiTheme="minorHAnsi" w:cstheme="minorBidi"/>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28</Pages>
  <Words>2104</Words>
  <Characters>11996</Characters>
  <Lines>99</Lines>
  <Paragraphs>28</Paragraphs>
  <TotalTime>0</TotalTime>
  <ScaleCrop>false</ScaleCrop>
  <LinksUpToDate>false</LinksUpToDate>
  <CharactersWithSpaces>14072</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2022-08-26T10:53:00Z</dcterms:created>
  <dc:creator>Administrator</dc:creator>
  <cp:lastModifiedBy>liuxinya</cp:lastModifiedBy>
  <cp:lastPrinted>2022-08-29T18:04:00Z</cp:lastPrinted>
  <dcterms:modified xsi:type="dcterms:W3CDTF">2022-08-29T23:03:30Z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