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jc w:val="center"/>
        <w:rPr>
          <w:rFonts w:hint="eastAsia" w:ascii="黑体" w:hAnsi="黑体" w:eastAsia="黑体" w:cs="黑体"/>
          <w:bCs/>
          <w:color w:val="111111"/>
          <w:kern w:val="0"/>
          <w:sz w:val="40"/>
          <w:szCs w:val="40"/>
        </w:rPr>
      </w:pPr>
    </w:p>
    <w:p>
      <w:pPr>
        <w:widowControl/>
        <w:shd w:val="clear" w:color="auto" w:fill="FEFEFE"/>
        <w:jc w:val="center"/>
        <w:rPr>
          <w:rFonts w:hint="eastAsia" w:ascii="黑体" w:hAnsi="黑体" w:eastAsia="黑体" w:cs="黑体"/>
          <w:bCs/>
          <w:color w:val="111111"/>
          <w:kern w:val="0"/>
          <w:sz w:val="40"/>
          <w:szCs w:val="40"/>
        </w:rPr>
      </w:pPr>
      <w:r>
        <w:rPr>
          <w:rFonts w:hint="eastAsia" w:ascii="黑体" w:hAnsi="黑体" w:eastAsia="黑体" w:cs="黑体"/>
          <w:bCs/>
          <w:color w:val="111111"/>
          <w:kern w:val="0"/>
          <w:sz w:val="40"/>
          <w:szCs w:val="40"/>
        </w:rPr>
        <w:t>厦门市观音山</w:t>
      </w:r>
      <w:r>
        <w:rPr>
          <w:rFonts w:hint="eastAsia" w:ascii="黑体" w:hAnsi="黑体" w:eastAsia="黑体" w:cs="黑体"/>
          <w:bCs/>
          <w:color w:val="111111"/>
          <w:kern w:val="0"/>
          <w:sz w:val="40"/>
          <w:szCs w:val="40"/>
          <w:lang w:eastAsia="zh-CN"/>
        </w:rPr>
        <w:t>城市</w:t>
      </w:r>
      <w:r>
        <w:rPr>
          <w:rFonts w:hint="eastAsia" w:ascii="黑体" w:hAnsi="黑体" w:eastAsia="黑体" w:cs="黑体"/>
          <w:bCs/>
          <w:color w:val="111111"/>
          <w:kern w:val="0"/>
          <w:sz w:val="40"/>
          <w:szCs w:val="40"/>
        </w:rPr>
        <w:t>服务</w:t>
      </w:r>
      <w:r>
        <w:rPr>
          <w:rFonts w:hint="eastAsia" w:ascii="黑体" w:hAnsi="黑体" w:eastAsia="黑体" w:cs="黑体"/>
          <w:bCs/>
          <w:color w:val="111111"/>
          <w:kern w:val="0"/>
          <w:sz w:val="40"/>
          <w:szCs w:val="40"/>
          <w:lang w:eastAsia="zh-CN"/>
        </w:rPr>
        <w:t>集团</w:t>
      </w:r>
      <w:r>
        <w:rPr>
          <w:rFonts w:hint="eastAsia" w:ascii="黑体" w:hAnsi="黑体" w:eastAsia="黑体" w:cs="黑体"/>
          <w:bCs/>
          <w:color w:val="111111"/>
          <w:kern w:val="0"/>
          <w:sz w:val="40"/>
          <w:szCs w:val="40"/>
        </w:rPr>
        <w:t>有限公司</w:t>
      </w:r>
    </w:p>
    <w:p>
      <w:pPr>
        <w:widowControl/>
        <w:shd w:val="clear" w:color="auto" w:fill="FEFEFE"/>
        <w:jc w:val="center"/>
        <w:rPr>
          <w:rFonts w:hint="eastAsia" w:ascii="黑体" w:hAnsi="黑体" w:eastAsia="黑体" w:cs="黑体"/>
          <w:b w:val="0"/>
          <w:bCs w:val="0"/>
          <w:sz w:val="36"/>
          <w:szCs w:val="36"/>
        </w:rPr>
      </w:pPr>
      <w:r>
        <w:rPr>
          <w:rFonts w:hint="eastAsia" w:ascii="黑体" w:hAnsi="黑体" w:eastAsia="黑体" w:cs="黑体"/>
          <w:sz w:val="36"/>
          <w:szCs w:val="36"/>
          <w:lang w:val="en-US" w:eastAsia="zh-CN"/>
        </w:rPr>
        <w:t>尤溪分公司开元宝邸三</w:t>
      </w:r>
      <w:r>
        <w:rPr>
          <w:rFonts w:hint="eastAsia" w:ascii="黑体" w:hAnsi="黑体" w:eastAsia="黑体" w:cs="黑体"/>
          <w:sz w:val="36"/>
          <w:szCs w:val="36"/>
        </w:rPr>
        <w:t>期的</w:t>
      </w:r>
      <w:r>
        <w:rPr>
          <w:rFonts w:hint="eastAsia" w:ascii="黑体" w:hAnsi="黑体" w:eastAsia="黑体" w:cs="黑体"/>
          <w:b w:val="0"/>
          <w:bCs w:val="0"/>
          <w:color w:val="auto"/>
          <w:sz w:val="36"/>
          <w:szCs w:val="36"/>
          <w:lang w:val="en-US" w:eastAsia="zh-CN"/>
        </w:rPr>
        <w:t>绿化管养</w:t>
      </w:r>
      <w:r>
        <w:rPr>
          <w:rFonts w:hint="eastAsia" w:ascii="黑体" w:hAnsi="黑体" w:eastAsia="黑体" w:cs="黑体"/>
          <w:b w:val="0"/>
          <w:bCs w:val="0"/>
          <w:sz w:val="36"/>
          <w:szCs w:val="36"/>
        </w:rPr>
        <w:t>服务</w:t>
      </w:r>
    </w:p>
    <w:p>
      <w:pPr>
        <w:keepNext w:val="0"/>
        <w:keepLines w:val="0"/>
        <w:pageBreakBefore w:val="0"/>
        <w:widowControl/>
        <w:shd w:val="clear" w:color="auto" w:fill="FEFEFE"/>
        <w:kinsoku/>
        <w:wordWrap/>
        <w:overflowPunct/>
        <w:topLinePunct w:val="0"/>
        <w:autoSpaceDE/>
        <w:autoSpaceDN/>
        <w:bidi w:val="0"/>
        <w:adjustRightInd/>
        <w:snapToGrid/>
        <w:spacing w:line="1400" w:lineRule="exact"/>
        <w:jc w:val="both"/>
        <w:textAlignment w:val="auto"/>
        <w:rPr>
          <w:rFonts w:hint="eastAsia" w:ascii="黑体" w:hAnsi="黑体" w:eastAsia="黑体" w:cs="黑体"/>
          <w:b/>
          <w:bCs w:val="0"/>
          <w:color w:val="111111"/>
          <w:kern w:val="0"/>
          <w:sz w:val="44"/>
          <w:szCs w:val="44"/>
        </w:rPr>
      </w:pPr>
    </w:p>
    <w:p>
      <w:pPr>
        <w:keepNext w:val="0"/>
        <w:keepLines w:val="0"/>
        <w:pageBreakBefore w:val="0"/>
        <w:widowControl/>
        <w:shd w:val="clear" w:color="auto" w:fill="FEFEFE"/>
        <w:kinsoku/>
        <w:wordWrap/>
        <w:overflowPunct/>
        <w:topLinePunct w:val="0"/>
        <w:autoSpaceDE/>
        <w:autoSpaceDN/>
        <w:bidi w:val="0"/>
        <w:adjustRightInd/>
        <w:snapToGrid/>
        <w:spacing w:line="1400" w:lineRule="exact"/>
        <w:ind w:firstLine="4400" w:firstLineChars="1000"/>
        <w:jc w:val="both"/>
        <w:textAlignment w:val="auto"/>
        <w:rPr>
          <w:rFonts w:hint="eastAsia" w:ascii="黑体" w:hAnsi="黑体" w:eastAsia="黑体" w:cs="黑体"/>
          <w:b/>
          <w:bCs w:val="0"/>
          <w:color w:val="111111"/>
          <w:kern w:val="0"/>
          <w:sz w:val="44"/>
          <w:szCs w:val="44"/>
        </w:rPr>
      </w:pPr>
      <w:r>
        <w:rPr>
          <w:rFonts w:hint="eastAsia" w:ascii="黑体" w:hAnsi="黑体" w:eastAsia="黑体" w:cs="黑体"/>
          <w:b/>
          <w:bCs w:val="0"/>
          <w:color w:val="111111"/>
          <w:kern w:val="0"/>
          <w:sz w:val="44"/>
          <w:szCs w:val="44"/>
        </w:rPr>
        <w:t>采</w:t>
      </w:r>
    </w:p>
    <w:p>
      <w:pPr>
        <w:keepNext w:val="0"/>
        <w:keepLines w:val="0"/>
        <w:pageBreakBefore w:val="0"/>
        <w:widowControl/>
        <w:shd w:val="clear" w:color="auto" w:fill="FEFEFE"/>
        <w:kinsoku/>
        <w:wordWrap/>
        <w:overflowPunct/>
        <w:topLinePunct w:val="0"/>
        <w:autoSpaceDE/>
        <w:autoSpaceDN/>
        <w:bidi w:val="0"/>
        <w:adjustRightInd/>
        <w:snapToGrid/>
        <w:spacing w:line="1400" w:lineRule="exact"/>
        <w:ind w:firstLine="4400" w:firstLineChars="1000"/>
        <w:jc w:val="both"/>
        <w:textAlignment w:val="auto"/>
        <w:rPr>
          <w:rFonts w:hint="eastAsia" w:ascii="黑体" w:hAnsi="黑体" w:eastAsia="黑体" w:cs="黑体"/>
          <w:b/>
          <w:bCs w:val="0"/>
          <w:color w:val="111111"/>
          <w:kern w:val="0"/>
          <w:sz w:val="44"/>
          <w:szCs w:val="44"/>
          <w:lang w:val="en-US" w:eastAsia="zh-CN"/>
        </w:rPr>
      </w:pPr>
      <w:r>
        <w:rPr>
          <w:rFonts w:hint="eastAsia" w:ascii="黑体" w:hAnsi="黑体" w:eastAsia="黑体" w:cs="黑体"/>
          <w:b/>
          <w:bCs w:val="0"/>
          <w:color w:val="111111"/>
          <w:kern w:val="0"/>
          <w:sz w:val="44"/>
          <w:szCs w:val="44"/>
          <w:lang w:val="en-US" w:eastAsia="zh-CN"/>
        </w:rPr>
        <w:t>购</w:t>
      </w:r>
    </w:p>
    <w:p>
      <w:pPr>
        <w:keepNext w:val="0"/>
        <w:keepLines w:val="0"/>
        <w:pageBreakBefore w:val="0"/>
        <w:widowControl/>
        <w:shd w:val="clear" w:color="auto" w:fill="FEFEFE"/>
        <w:kinsoku/>
        <w:wordWrap/>
        <w:overflowPunct/>
        <w:topLinePunct w:val="0"/>
        <w:autoSpaceDE/>
        <w:autoSpaceDN/>
        <w:bidi w:val="0"/>
        <w:adjustRightInd/>
        <w:snapToGrid/>
        <w:spacing w:line="1400" w:lineRule="exact"/>
        <w:ind w:firstLine="4400" w:firstLineChars="1000"/>
        <w:jc w:val="both"/>
        <w:textAlignment w:val="auto"/>
        <w:rPr>
          <w:rFonts w:hint="eastAsia" w:ascii="黑体" w:hAnsi="黑体" w:eastAsia="黑体" w:cs="黑体"/>
          <w:b/>
          <w:bCs w:val="0"/>
          <w:sz w:val="44"/>
          <w:szCs w:val="44"/>
          <w:lang w:eastAsia="zh-CN"/>
        </w:rPr>
      </w:pPr>
      <w:r>
        <w:rPr>
          <w:rFonts w:hint="eastAsia" w:ascii="黑体" w:hAnsi="黑体" w:eastAsia="黑体" w:cs="黑体"/>
          <w:b/>
          <w:bCs w:val="0"/>
          <w:sz w:val="44"/>
          <w:szCs w:val="44"/>
          <w:lang w:eastAsia="zh-CN"/>
        </w:rPr>
        <w:t>文</w:t>
      </w:r>
    </w:p>
    <w:p>
      <w:pPr>
        <w:keepNext w:val="0"/>
        <w:keepLines w:val="0"/>
        <w:pageBreakBefore w:val="0"/>
        <w:kinsoku/>
        <w:wordWrap/>
        <w:overflowPunct/>
        <w:topLinePunct w:val="0"/>
        <w:autoSpaceDE/>
        <w:autoSpaceDN/>
        <w:bidi w:val="0"/>
        <w:adjustRightInd/>
        <w:snapToGrid/>
        <w:spacing w:line="1400" w:lineRule="exact"/>
        <w:ind w:firstLine="4400" w:firstLineChars="1000"/>
        <w:jc w:val="both"/>
        <w:textAlignment w:val="auto"/>
        <w:rPr>
          <w:rFonts w:hint="eastAsia" w:ascii="仿宋_GB2312" w:hAnsi="仿宋_GB2312" w:eastAsia="仿宋_GB2312" w:cs="仿宋_GB2312"/>
        </w:rPr>
      </w:pPr>
      <w:r>
        <w:rPr>
          <w:rFonts w:hint="eastAsia" w:ascii="黑体" w:hAnsi="黑体" w:eastAsia="黑体" w:cs="黑体"/>
          <w:b/>
          <w:bCs w:val="0"/>
          <w:sz w:val="44"/>
          <w:szCs w:val="44"/>
          <w:lang w:val="en-US" w:eastAsia="zh-CN"/>
        </w:rPr>
        <w:t>件</w:t>
      </w: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6"/>
        <w:ind w:firstLine="720" w:firstLineChars="200"/>
        <w:jc w:val="both"/>
        <w:rPr>
          <w:rFonts w:hint="eastAsia" w:ascii="仿宋_GB2312" w:hAnsi="仿宋_GB2312" w:eastAsia="仿宋_GB2312" w:cs="仿宋_GB2312"/>
          <w:b/>
          <w:bCs/>
          <w:sz w:val="36"/>
          <w:szCs w:val="22"/>
        </w:rPr>
      </w:pPr>
      <w:r>
        <w:rPr>
          <w:rFonts w:hint="eastAsia" w:ascii="仿宋_GB2312" w:hAnsi="仿宋_GB2312" w:eastAsia="仿宋_GB2312" w:cs="仿宋_GB2312"/>
          <w:b/>
          <w:bCs/>
          <w:sz w:val="36"/>
          <w:szCs w:val="22"/>
        </w:rPr>
        <w:t>采购单位：厦门市观音山城市服务集团有限公司</w:t>
      </w:r>
    </w:p>
    <w:p>
      <w:pPr>
        <w:pStyle w:val="6"/>
        <w:ind w:firstLine="720" w:firstLineChars="200"/>
        <w:jc w:val="both"/>
        <w:rPr>
          <w:rFonts w:ascii="仿宋_GB2312" w:hAnsi="仿宋_GB2312" w:eastAsia="仿宋_GB2312" w:cs="仿宋_GB2312"/>
          <w:b/>
          <w:bCs/>
          <w:sz w:val="36"/>
          <w:szCs w:val="22"/>
          <w:highlight w:val="yellow"/>
        </w:rPr>
      </w:pPr>
      <w:r>
        <w:rPr>
          <w:rFonts w:hint="eastAsia" w:ascii="仿宋_GB2312" w:hAnsi="仿宋_GB2312" w:eastAsia="仿宋_GB2312" w:cs="仿宋_GB2312"/>
          <w:b/>
          <w:bCs/>
          <w:sz w:val="36"/>
          <w:szCs w:val="22"/>
        </w:rPr>
        <w:t>采购时间：2023年</w:t>
      </w:r>
      <w:r>
        <w:rPr>
          <w:rFonts w:hint="eastAsia" w:ascii="仿宋_GB2312" w:hAnsi="仿宋_GB2312" w:eastAsia="仿宋_GB2312" w:cs="仿宋_GB2312"/>
          <w:b/>
          <w:bCs/>
          <w:sz w:val="36"/>
          <w:szCs w:val="22"/>
          <w:lang w:val="en-US" w:eastAsia="zh-CN"/>
        </w:rPr>
        <w:t>03</w:t>
      </w:r>
      <w:r>
        <w:rPr>
          <w:rFonts w:hint="eastAsia" w:ascii="仿宋_GB2312" w:hAnsi="仿宋_GB2312" w:eastAsia="仿宋_GB2312" w:cs="仿宋_GB2312"/>
          <w:b/>
          <w:bCs/>
          <w:sz w:val="36"/>
          <w:szCs w:val="22"/>
        </w:rPr>
        <w:t>月</w:t>
      </w:r>
      <w:r>
        <w:rPr>
          <w:rFonts w:hint="eastAsia" w:ascii="仿宋_GB2312" w:hAnsi="仿宋_GB2312" w:eastAsia="仿宋_GB2312" w:cs="仿宋_GB2312"/>
          <w:b/>
          <w:bCs/>
          <w:sz w:val="36"/>
          <w:szCs w:val="22"/>
          <w:highlight w:val="none"/>
          <w:lang w:val="en-US" w:eastAsia="zh-CN"/>
        </w:rPr>
        <w:t>08</w:t>
      </w:r>
      <w:r>
        <w:rPr>
          <w:rFonts w:hint="eastAsia" w:ascii="仿宋_GB2312" w:hAnsi="仿宋_GB2312" w:eastAsia="仿宋_GB2312" w:cs="仿宋_GB2312"/>
          <w:b/>
          <w:bCs/>
          <w:sz w:val="36"/>
          <w:szCs w:val="22"/>
          <w:highlight w:val="none"/>
        </w:rPr>
        <w:t>日</w:t>
      </w: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采购</w:t>
      </w:r>
      <w:r>
        <w:rPr>
          <w:rFonts w:hint="eastAsia" w:ascii="仿宋_GB2312" w:hAnsi="仿宋_GB2312" w:eastAsia="仿宋_GB2312" w:cs="仿宋_GB2312"/>
          <w:b/>
          <w:color w:val="000000"/>
          <w:sz w:val="32"/>
          <w:szCs w:val="32"/>
        </w:rPr>
        <w:t>项目概况</w:t>
      </w:r>
      <w:r>
        <w:rPr>
          <w:rFonts w:hint="eastAsia" w:ascii="仿宋_GB2312" w:hAnsi="仿宋_GB2312" w:eastAsia="仿宋_GB2312" w:cs="仿宋_GB2312"/>
          <w:b/>
          <w:bCs/>
          <w:sz w:val="32"/>
          <w:szCs w:val="32"/>
        </w:rPr>
        <w:t>：</w:t>
      </w:r>
    </w:p>
    <w:p>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b/>
          <w:sz w:val="32"/>
          <w:szCs w:val="32"/>
        </w:rPr>
        <w:t xml:space="preserve"> 采购</w:t>
      </w:r>
      <w:r>
        <w:rPr>
          <w:rFonts w:hint="eastAsia" w:ascii="仿宋_GB2312" w:hAnsi="仿宋_GB2312" w:eastAsia="仿宋_GB2312" w:cs="仿宋_GB2312"/>
          <w:b/>
          <w:color w:val="000000"/>
          <w:sz w:val="32"/>
          <w:szCs w:val="32"/>
        </w:rPr>
        <w:t>项目名称：</w:t>
      </w:r>
      <w:r>
        <w:rPr>
          <w:rFonts w:hint="eastAsia" w:ascii="仿宋_GB2312" w:hAnsi="仿宋_GB2312" w:eastAsia="仿宋_GB2312" w:cs="仿宋_GB2312"/>
          <w:color w:val="111111"/>
          <w:sz w:val="32"/>
          <w:szCs w:val="32"/>
          <w:shd w:val="clear" w:color="auto" w:fill="FEFEFE"/>
          <w:lang w:val="en-US" w:eastAsia="zh-CN"/>
        </w:rPr>
        <w:t>尤溪</w:t>
      </w:r>
      <w:r>
        <w:rPr>
          <w:rFonts w:hint="eastAsia" w:ascii="仿宋_GB2312" w:hAnsi="仿宋_GB2312" w:eastAsia="仿宋_GB2312" w:cs="仿宋_GB2312"/>
          <w:color w:val="111111"/>
          <w:sz w:val="32"/>
          <w:szCs w:val="32"/>
          <w:shd w:val="clear" w:color="auto" w:fill="FEFEFE"/>
        </w:rPr>
        <w:t>分公司</w:t>
      </w:r>
      <w:r>
        <w:rPr>
          <w:rFonts w:hint="eastAsia" w:ascii="仿宋" w:hAnsi="仿宋" w:eastAsia="仿宋" w:cs="仿宋"/>
          <w:sz w:val="32"/>
          <w:szCs w:val="32"/>
          <w:lang w:val="en-US" w:eastAsia="zh-CN"/>
        </w:rPr>
        <w:t>开元宝邸三</w:t>
      </w:r>
      <w:r>
        <w:rPr>
          <w:rFonts w:hint="eastAsia" w:ascii="仿宋" w:hAnsi="仿宋" w:eastAsia="仿宋" w:cs="仿宋"/>
          <w:sz w:val="32"/>
          <w:szCs w:val="32"/>
        </w:rPr>
        <w:t>期的</w:t>
      </w:r>
      <w:r>
        <w:rPr>
          <w:rFonts w:hint="eastAsia" w:ascii="仿宋" w:hAnsi="仿宋" w:eastAsia="仿宋" w:cs="仿宋"/>
          <w:b w:val="0"/>
          <w:bCs w:val="0"/>
          <w:color w:val="auto"/>
          <w:sz w:val="32"/>
          <w:szCs w:val="32"/>
          <w:lang w:val="en-US" w:eastAsia="zh-CN"/>
        </w:rPr>
        <w:t>绿化管养</w:t>
      </w:r>
      <w:r>
        <w:rPr>
          <w:rFonts w:hint="eastAsia" w:ascii="仿宋" w:hAnsi="仿宋" w:eastAsia="仿宋" w:cs="仿宋"/>
          <w:b w:val="0"/>
          <w:bCs w:val="0"/>
          <w:sz w:val="32"/>
          <w:szCs w:val="32"/>
        </w:rPr>
        <w:t>服务</w:t>
      </w:r>
    </w:p>
    <w:p>
      <w:pPr>
        <w:tabs>
          <w:tab w:val="left" w:pos="567"/>
          <w:tab w:val="left" w:pos="851"/>
        </w:tabs>
        <w:spacing w:line="360" w:lineRule="auto"/>
        <w:ind w:left="420"/>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rPr>
        <w:t>2.项目编号：</w:t>
      </w:r>
      <w:r>
        <w:rPr>
          <w:rFonts w:hint="eastAsia" w:ascii="仿宋_GB2312" w:hAnsi="仿宋_GB2312" w:eastAsia="仿宋_GB2312" w:cs="仿宋_GB2312"/>
          <w:b/>
          <w:bCs/>
          <w:sz w:val="32"/>
          <w:szCs w:val="32"/>
          <w:highlight w:val="none"/>
          <w:lang w:val="en-US" w:eastAsia="zh-CN"/>
        </w:rPr>
        <w:t xml:space="preserve">               </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采购内容与范围：</w:t>
      </w:r>
    </w:p>
    <w:p>
      <w:pPr>
        <w:pStyle w:val="19"/>
        <w:numPr>
          <w:ilvl w:val="0"/>
          <w:numId w:val="0"/>
        </w:numPr>
        <w:tabs>
          <w:tab w:val="left" w:pos="360"/>
          <w:tab w:val="left" w:pos="567"/>
          <w:tab w:val="left" w:pos="851"/>
        </w:tabs>
        <w:spacing w:line="360" w:lineRule="auto"/>
        <w:ind w:left="426" w:leftChars="0"/>
        <w:rPr>
          <w:rFonts w:hint="eastAsia" w:ascii="仿宋_GB2312" w:hAnsi="仿宋_GB2312" w:eastAsia="仿宋_GB2312" w:cs="仿宋_GB2312"/>
          <w:b/>
          <w:bCs/>
          <w:color w:val="111111"/>
          <w:kern w:val="0"/>
          <w:sz w:val="32"/>
          <w:szCs w:val="21"/>
        </w:rPr>
      </w:pP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lang w:val="en-US" w:eastAsia="zh-CN"/>
        </w:rPr>
        <w:t>一</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采购内容</w:t>
      </w:r>
      <w:r>
        <w:rPr>
          <w:rFonts w:hint="eastAsia" w:ascii="仿宋_GB2312" w:hAnsi="仿宋_GB2312" w:eastAsia="仿宋_GB2312" w:cs="仿宋_GB2312"/>
          <w:b/>
          <w:bCs/>
          <w:color w:val="111111"/>
          <w:kern w:val="0"/>
          <w:sz w:val="32"/>
          <w:szCs w:val="21"/>
        </w:rPr>
        <w:t>：</w:t>
      </w:r>
    </w:p>
    <w:p>
      <w:pPr>
        <w:spacing w:line="360" w:lineRule="auto"/>
        <w:ind w:firstLine="640" w:firstLineChars="200"/>
        <w:jc w:val="left"/>
        <w:rPr>
          <w:rFonts w:hint="eastAsia" w:ascii="仿宋_GB2312" w:hAnsi="仿宋_GB2312" w:eastAsia="仿宋_GB2312" w:cs="仿宋_GB2312"/>
          <w:b/>
          <w:bCs/>
          <w:color w:val="111111"/>
          <w:kern w:val="0"/>
          <w:sz w:val="32"/>
          <w:szCs w:val="21"/>
        </w:rPr>
      </w:pPr>
      <w:r>
        <w:rPr>
          <w:rFonts w:hint="eastAsia" w:ascii="仿宋_GB2312" w:hAnsi="仿宋_GB2312" w:eastAsia="仿宋_GB2312" w:cs="仿宋_GB2312"/>
          <w:color w:val="111111"/>
          <w:sz w:val="32"/>
          <w:szCs w:val="32"/>
          <w:shd w:val="clear" w:color="auto" w:fill="FEFEFE"/>
          <w:lang w:val="en-US" w:eastAsia="zh-CN"/>
        </w:rPr>
        <w:t>尤溪</w:t>
      </w:r>
      <w:r>
        <w:rPr>
          <w:rFonts w:hint="eastAsia" w:ascii="仿宋_GB2312" w:hAnsi="仿宋_GB2312" w:eastAsia="仿宋_GB2312" w:cs="仿宋_GB2312"/>
          <w:color w:val="111111"/>
          <w:sz w:val="32"/>
          <w:szCs w:val="32"/>
          <w:shd w:val="clear" w:color="auto" w:fill="FEFEFE"/>
        </w:rPr>
        <w:t>分公司</w:t>
      </w:r>
      <w:r>
        <w:rPr>
          <w:rFonts w:hint="eastAsia" w:ascii="仿宋" w:hAnsi="仿宋" w:eastAsia="仿宋" w:cs="仿宋"/>
          <w:sz w:val="32"/>
          <w:szCs w:val="32"/>
          <w:lang w:val="en-US" w:eastAsia="zh-CN"/>
        </w:rPr>
        <w:t>开元宝邸三</w:t>
      </w:r>
      <w:r>
        <w:rPr>
          <w:rFonts w:hint="eastAsia" w:ascii="仿宋" w:hAnsi="仿宋" w:eastAsia="仿宋" w:cs="仿宋"/>
          <w:sz w:val="32"/>
          <w:szCs w:val="32"/>
        </w:rPr>
        <w:t>期的</w:t>
      </w:r>
      <w:r>
        <w:rPr>
          <w:rFonts w:hint="eastAsia" w:ascii="仿宋" w:hAnsi="仿宋" w:eastAsia="仿宋" w:cs="仿宋"/>
          <w:b w:val="0"/>
          <w:bCs w:val="0"/>
          <w:color w:val="auto"/>
          <w:sz w:val="32"/>
          <w:szCs w:val="32"/>
          <w:lang w:val="en-US" w:eastAsia="zh-CN"/>
        </w:rPr>
        <w:t>绿化管养</w:t>
      </w:r>
      <w:r>
        <w:rPr>
          <w:rFonts w:hint="eastAsia" w:ascii="仿宋" w:hAnsi="仿宋" w:eastAsia="仿宋" w:cs="仿宋"/>
          <w:b w:val="0"/>
          <w:bCs w:val="0"/>
          <w:sz w:val="32"/>
          <w:szCs w:val="32"/>
        </w:rPr>
        <w:t>服务</w:t>
      </w:r>
      <w:r>
        <w:rPr>
          <w:rFonts w:hint="eastAsia" w:ascii="仿宋" w:hAnsi="仿宋" w:eastAsia="仿宋" w:cs="仿宋"/>
          <w:b w:val="0"/>
          <w:bCs w:val="0"/>
          <w:sz w:val="32"/>
          <w:szCs w:val="32"/>
          <w:lang w:eastAsia="zh-CN"/>
        </w:rPr>
        <w:t>。</w:t>
      </w:r>
    </w:p>
    <w:p>
      <w:pPr>
        <w:pStyle w:val="19"/>
        <w:numPr>
          <w:ilvl w:val="0"/>
          <w:numId w:val="0"/>
        </w:numPr>
        <w:tabs>
          <w:tab w:val="left" w:pos="360"/>
          <w:tab w:val="left" w:pos="567"/>
          <w:tab w:val="left" w:pos="851"/>
        </w:tabs>
        <w:spacing w:line="360" w:lineRule="auto"/>
        <w:ind w:left="426" w:leftChars="0"/>
        <w:rPr>
          <w:rFonts w:hint="eastAsia" w:ascii="仿宋_GB2312" w:hAnsi="仿宋_GB2312" w:eastAsia="仿宋_GB2312" w:cs="仿宋_GB2312"/>
          <w:b/>
          <w:bCs/>
          <w:sz w:val="32"/>
          <w:szCs w:val="32"/>
        </w:rPr>
      </w:pP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lang w:val="en-US" w:eastAsia="zh-CN"/>
        </w:rPr>
        <w:t>二</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采购范围</w:t>
      </w:r>
    </w:p>
    <w:p>
      <w:pPr>
        <w:pStyle w:val="19"/>
        <w:numPr>
          <w:ilvl w:val="0"/>
          <w:numId w:val="1"/>
        </w:numPr>
        <w:tabs>
          <w:tab w:val="left" w:pos="567"/>
          <w:tab w:val="left" w:pos="851"/>
        </w:tabs>
        <w:spacing w:line="360" w:lineRule="auto"/>
        <w:ind w:firstLine="64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2"/>
          <w:szCs w:val="32"/>
          <w:lang w:val="en-US" w:eastAsia="zh-CN"/>
        </w:rPr>
        <w:t>开元宝邸</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期，项目</w:t>
      </w:r>
      <w:r>
        <w:rPr>
          <w:rFonts w:hint="eastAsia" w:ascii="仿宋_GB2312" w:hAnsi="仿宋_GB2312" w:eastAsia="仿宋_GB2312" w:cs="仿宋_GB2312"/>
          <w:sz w:val="32"/>
          <w:szCs w:val="32"/>
          <w:lang w:val="en-US" w:eastAsia="zh-CN"/>
        </w:rPr>
        <w:t>绿化</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u w:val="single"/>
          <w:lang w:val="en-US" w:eastAsia="zh-CN"/>
        </w:rPr>
        <w:t>12390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三、服务质量具体标准及要求</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1、浇水</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为满足植物正常生长，应及时浇水，做到每天对所养护的绿化植物日常每天至少浇灌1次。在久未下雨干旱时期，应增加浇水人员，并注意抗旱浇水或及时进行灌溉。</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2、施肥</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每年施肥2次以上。施肥时采用撒施，在雨后土壤潮湿或湿润时进行；或者施肥后要及时浇水。高大树木（乔木、灌木）采用穴施，在树根周围挖均匀小洞，肥料施入后覆土浇水。</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3、修枝整形</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（1）草坪修剪要求每年4次以上。</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（2）绿篱修剪要求每年6次以上。</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（3）落叶乔木修剪每年2次以上。</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4、松土除草</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树穴每年整理3次以上，边沟整理2次以上。</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夏天一般隔一段时间除草一次，草坪中杂草应及时挑除，常年保持草坪中无高大杂草，纯净率达90%以上。</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绿化带发现有杂生植物、爬藤等应及时予以连根清除。</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5、病虫害防治</w:t>
      </w:r>
    </w:p>
    <w:p>
      <w:pPr>
        <w:pStyle w:val="19"/>
        <w:numPr>
          <w:ilvl w:val="0"/>
          <w:numId w:val="0"/>
        </w:numPr>
        <w:tabs>
          <w:tab w:val="left" w:pos="567"/>
          <w:tab w:val="left" w:pos="851"/>
        </w:tabs>
        <w:spacing w:line="360" w:lineRule="auto"/>
        <w:ind w:left="420" w:leftChars="0"/>
        <w:rPr>
          <w:rFonts w:hint="default"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每年病虫害预防性防治消杀4次以上，（针对突发病虫害防治不计在内）</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6、防抗台风及意外</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台风侵袭前对树木逐一检查，凡不符合要求的支架及时紧固，绑扎时用铁丝，绑扎点应衬垫橡皮，确保不损伤树皮，竹类可串连起来固定。</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8、管护安全</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施用农药时要确保安全：一要提前报告；二要挂牌警示；三要施用低毒高效农药；四作业人员要做好防护工作。</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9、补植</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成交人所养护的乔木因未及时做好支护及病虫害防治工作，造成苗木死亡，由成交人按原苗木规格补植恢复。</w:t>
      </w:r>
    </w:p>
    <w:p>
      <w:pPr>
        <w:pStyle w:val="19"/>
        <w:numPr>
          <w:ilvl w:val="0"/>
          <w:numId w:val="0"/>
        </w:numPr>
        <w:tabs>
          <w:tab w:val="left" w:pos="567"/>
          <w:tab w:val="left" w:pos="851"/>
        </w:tabs>
        <w:spacing w:line="360" w:lineRule="auto"/>
        <w:ind w:left="420" w:leftChars="0"/>
        <w:rPr>
          <w:rFonts w:hint="default"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10、其他要求</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10-1、成交人在养护期间产生的生产垃圾、自然原因或其他事故产生的枯枝、断枝造成的交通事故和人员伤害及相关不良影响的，概由成交人负责。</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10-2、绿化养护期间，其他相关的人工费、农药、工具、车辆、材料、设施维护及税收、劳务纠纷等各种所需费用，由成交人承担。</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color w:val="111111"/>
          <w:sz w:val="32"/>
          <w:szCs w:val="32"/>
          <w:lang w:val="en-US" w:eastAsia="zh-CN"/>
        </w:rPr>
      </w:pPr>
      <w:r>
        <w:rPr>
          <w:rFonts w:hint="eastAsia" w:ascii="仿宋" w:hAnsi="仿宋" w:eastAsia="仿宋" w:cs="仿宋"/>
          <w:b w:val="0"/>
          <w:bCs/>
          <w:color w:val="111111"/>
          <w:sz w:val="32"/>
          <w:szCs w:val="32"/>
          <w:lang w:val="en-US" w:eastAsia="zh-CN"/>
        </w:rPr>
        <w:t>10-3、成交人在养护期间内自觉接受采购方监督。突击性任务和迎检活动须无条件配合。</w:t>
      </w:r>
    </w:p>
    <w:p>
      <w:pPr>
        <w:pStyle w:val="19"/>
        <w:numPr>
          <w:ilvl w:val="0"/>
          <w:numId w:val="0"/>
        </w:numPr>
        <w:tabs>
          <w:tab w:val="left" w:pos="567"/>
          <w:tab w:val="left" w:pos="851"/>
        </w:tabs>
        <w:spacing w:line="360" w:lineRule="auto"/>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color w:val="111111"/>
          <w:sz w:val="32"/>
          <w:szCs w:val="32"/>
          <w:lang w:val="en-US" w:eastAsia="zh-CN"/>
        </w:rPr>
        <w:t>四、</w:t>
      </w:r>
      <w:r>
        <w:rPr>
          <w:rFonts w:hint="eastAsia" w:ascii="仿宋_GB2312" w:hAnsi="仿宋_GB2312" w:eastAsia="仿宋_GB2312" w:cs="仿宋_GB2312"/>
          <w:b/>
          <w:color w:val="111111"/>
          <w:sz w:val="32"/>
          <w:szCs w:val="32"/>
        </w:rPr>
        <w:t>投标资格要求</w:t>
      </w:r>
    </w:p>
    <w:p>
      <w:pPr>
        <w:spacing w:line="336" w:lineRule="auto"/>
        <w:ind w:firstLine="635" w:firstLineChars="227"/>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1、企业法定代表人授权书原件及被授权人身份证复印件 (若法定代表人直接投标，只须提供其身份证复印件) （加盖公章）。 </w:t>
      </w:r>
    </w:p>
    <w:p>
      <w:pPr>
        <w:spacing w:line="336" w:lineRule="auto"/>
        <w:ind w:firstLine="635" w:firstLineChars="227"/>
        <w:jc w:val="left"/>
        <w:rPr>
          <w:rFonts w:ascii="仿宋_GB2312" w:hAnsi="仿宋_GB2312" w:eastAsia="仿宋_GB2312" w:cs="仿宋_GB2312"/>
          <w:sz w:val="28"/>
          <w:szCs w:val="28"/>
        </w:rPr>
      </w:pPr>
      <w:r>
        <w:rPr>
          <w:rFonts w:hint="eastAsia" w:ascii="仿宋_GB2312" w:hAnsi="仿宋_GB2312" w:eastAsia="仿宋_GB2312" w:cs="仿宋_GB2312"/>
          <w:sz w:val="28"/>
          <w:szCs w:val="24"/>
        </w:rPr>
        <w:t>2、</w:t>
      </w:r>
      <w:r>
        <w:rPr>
          <w:rFonts w:hint="eastAsia" w:ascii="仿宋_GB2312" w:hAnsi="仿宋_GB2312" w:eastAsia="仿宋_GB2312" w:cs="仿宋_GB2312"/>
          <w:sz w:val="28"/>
          <w:szCs w:val="28"/>
          <w:shd w:val="clear" w:color="auto" w:fill="FFFFFF"/>
        </w:rPr>
        <w:t>投标人须具有国家工商行政管理部门批准的园林绿化行业的营业执照</w:t>
      </w:r>
      <w:r>
        <w:rPr>
          <w:rFonts w:hint="eastAsia" w:ascii="仿宋_GB2312" w:hAnsi="仿宋_GB2312" w:eastAsia="仿宋_GB2312" w:cs="仿宋_GB2312"/>
          <w:sz w:val="28"/>
          <w:szCs w:val="24"/>
        </w:rPr>
        <w:t>复印件（加盖公章）</w:t>
      </w:r>
      <w:r>
        <w:rPr>
          <w:rFonts w:hint="eastAsia" w:ascii="仿宋_GB2312" w:hAnsi="仿宋_GB2312" w:eastAsia="仿宋_GB2312" w:cs="仿宋_GB2312"/>
          <w:sz w:val="28"/>
          <w:szCs w:val="28"/>
          <w:shd w:val="clear" w:color="auto" w:fill="FFFFFF"/>
        </w:rPr>
        <w:t>。</w:t>
      </w:r>
      <w:r>
        <w:rPr>
          <w:rFonts w:hint="eastAsia" w:ascii="仿宋_GB2312" w:hAnsi="仿宋_GB2312" w:eastAsia="仿宋_GB2312" w:cs="仿宋_GB2312"/>
          <w:sz w:val="28"/>
          <w:szCs w:val="28"/>
        </w:rPr>
        <w:t xml:space="preserve"> </w:t>
      </w:r>
    </w:p>
    <w:p>
      <w:pPr>
        <w:spacing w:line="336" w:lineRule="auto"/>
        <w:ind w:firstLine="635" w:firstLineChars="227"/>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3、公司业绩、需出具有从事绿化养护三年（含）以上经验、提供绿化养护合同等证明文件（加盖公章）。</w:t>
      </w:r>
    </w:p>
    <w:p>
      <w:pPr>
        <w:spacing w:line="336" w:lineRule="auto"/>
        <w:ind w:firstLine="635" w:firstLineChars="227"/>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4、管养人员的社医保或第三方责任险缴交记录（加盖公章）。</w:t>
      </w:r>
    </w:p>
    <w:p>
      <w:pPr>
        <w:spacing w:line="336" w:lineRule="auto"/>
        <w:ind w:firstLine="635" w:firstLineChars="227"/>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5、</w:t>
      </w:r>
      <w:r>
        <w:rPr>
          <w:rFonts w:hint="eastAsia" w:ascii="仿宋_GB2312" w:hAnsi="仿宋_GB2312" w:eastAsia="仿宋_GB2312" w:cs="仿宋_GB2312"/>
          <w:sz w:val="28"/>
          <w:szCs w:val="28"/>
        </w:rPr>
        <w:t>需提供管养服务方案和</w:t>
      </w:r>
      <w:r>
        <w:rPr>
          <w:rFonts w:hint="eastAsia" w:ascii="仿宋_GB2312" w:hAnsi="仿宋_GB2312" w:eastAsia="仿宋_GB2312" w:cs="仿宋_GB2312"/>
          <w:sz w:val="28"/>
          <w:szCs w:val="24"/>
        </w:rPr>
        <w:t>工作计划安排（加盖公章），管养标准参考</w:t>
      </w:r>
      <w:r>
        <w:rPr>
          <w:rFonts w:hint="eastAsia" w:ascii="仿宋_GB2312" w:hAnsi="仿宋_GB2312" w:eastAsia="仿宋_GB2312" w:cs="仿宋_GB2312"/>
          <w:bCs/>
          <w:sz w:val="28"/>
          <w:szCs w:val="24"/>
        </w:rPr>
        <w:t>附件1</w:t>
      </w:r>
      <w:r>
        <w:rPr>
          <w:rFonts w:hint="eastAsia" w:ascii="仿宋_GB2312" w:hAnsi="仿宋_GB2312" w:eastAsia="仿宋_GB2312" w:cs="仿宋_GB2312"/>
          <w:sz w:val="28"/>
          <w:szCs w:val="24"/>
        </w:rPr>
        <w:t>。</w:t>
      </w:r>
    </w:p>
    <w:p>
      <w:pPr>
        <w:spacing w:line="336" w:lineRule="auto"/>
        <w:ind w:firstLine="635" w:firstLineChars="227"/>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6、管养报价清单（加盖公章）。</w:t>
      </w:r>
    </w:p>
    <w:p>
      <w:pPr>
        <w:spacing w:line="336" w:lineRule="auto"/>
        <w:ind w:firstLine="635" w:firstLineChars="227"/>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7、管护服务期限：自签订合同之日起一年。</w:t>
      </w:r>
    </w:p>
    <w:p>
      <w:pPr>
        <w:spacing w:line="336" w:lineRule="auto"/>
        <w:ind w:firstLine="635" w:firstLineChars="227"/>
        <w:jc w:val="left"/>
        <w:rPr>
          <w:rFonts w:ascii="仿宋_GB2312" w:hAnsi="仿宋_GB2312" w:eastAsia="仿宋_GB2312" w:cs="仿宋_GB2312"/>
          <w:color w:val="111111"/>
          <w:sz w:val="28"/>
          <w:szCs w:val="28"/>
          <w:shd w:val="clear" w:color="auto" w:fill="FEFEFE"/>
        </w:rPr>
      </w:pPr>
      <w:r>
        <w:rPr>
          <w:rFonts w:hint="eastAsia" w:ascii="仿宋_GB2312" w:hAnsi="仿宋_GB2312" w:eastAsia="仿宋_GB2312" w:cs="仿宋_GB2312"/>
          <w:bCs/>
          <w:color w:val="111111"/>
          <w:sz w:val="28"/>
          <w:szCs w:val="20"/>
        </w:rPr>
        <w:t>8、投标响应人在国家企业信用信息公示系统（福建）网站上有 “列入经营异常名录信息”、“列入严重违法失信企业名单（黑名单）”记录即为不合格投标人，按废标处理</w:t>
      </w:r>
      <w:r>
        <w:rPr>
          <w:rFonts w:hint="eastAsia" w:ascii="仿宋_GB2312" w:hAnsi="仿宋_GB2312" w:eastAsia="仿宋_GB2312" w:cs="仿宋_GB2312"/>
          <w:color w:val="111111"/>
          <w:sz w:val="28"/>
          <w:szCs w:val="28"/>
          <w:shd w:val="clear" w:color="auto" w:fill="FEFEFE"/>
        </w:rPr>
        <w:t>。</w:t>
      </w:r>
    </w:p>
    <w:p>
      <w:pPr>
        <w:pStyle w:val="19"/>
        <w:numPr>
          <w:ilvl w:val="0"/>
          <w:numId w:val="0"/>
        </w:numPr>
        <w:tabs>
          <w:tab w:val="left" w:pos="567"/>
          <w:tab w:val="left" w:pos="851"/>
        </w:tabs>
        <w:spacing w:line="360" w:lineRule="auto"/>
        <w:ind w:left="567" w:leftChars="0"/>
        <w:rPr>
          <w:rFonts w:ascii="仿宋_GB2312" w:hAnsi="仿宋_GB2312" w:eastAsia="仿宋_GB2312" w:cs="仿宋_GB2312"/>
          <w:sz w:val="28"/>
          <w:szCs w:val="28"/>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响应人须知</w:t>
      </w:r>
      <w:r>
        <w:rPr>
          <w:rFonts w:hint="eastAsia" w:ascii="仿宋_GB2312" w:hAnsi="仿宋_GB2312" w:eastAsia="仿宋_GB2312" w:cs="仿宋_GB2312"/>
          <w:color w:val="111111"/>
          <w:kern w:val="0"/>
          <w:sz w:val="28"/>
          <w:szCs w:val="28"/>
          <w:shd w:val="clear" w:color="auto" w:fill="FEFEFE"/>
        </w:rPr>
        <w:br w:type="textWrapping"/>
      </w:r>
      <w:r>
        <w:rPr>
          <w:rFonts w:hint="eastAsia" w:ascii="仿宋_GB2312" w:hAnsi="仿宋_GB2312" w:eastAsia="仿宋_GB2312" w:cs="仿宋_GB2312"/>
          <w:color w:val="111111"/>
          <w:kern w:val="0"/>
          <w:sz w:val="28"/>
          <w:szCs w:val="28"/>
          <w:shd w:val="clear" w:color="auto" w:fill="FEFEFE"/>
        </w:rPr>
        <w:t> </w:t>
      </w:r>
      <w:r>
        <w:rPr>
          <w:rFonts w:hint="eastAsia" w:ascii="仿宋_GB2312" w:hAnsi="仿宋_GB2312" w:eastAsia="仿宋_GB2312" w:cs="仿宋_GB2312"/>
          <w:b/>
          <w:bCs/>
          <w:color w:val="111111"/>
          <w:kern w:val="0"/>
          <w:sz w:val="28"/>
          <w:szCs w:val="20"/>
        </w:rPr>
        <w:t>1.</w:t>
      </w:r>
      <w:r>
        <w:rPr>
          <w:rFonts w:hint="eastAsia" w:ascii="仿宋_GB2312" w:hAnsi="仿宋_GB2312" w:eastAsia="仿宋_GB2312" w:cs="仿宋_GB2312"/>
          <w:bCs/>
          <w:color w:val="111111"/>
          <w:kern w:val="0"/>
          <w:sz w:val="28"/>
          <w:szCs w:val="20"/>
        </w:rPr>
        <w:t>响应文件编制应包括以下内容: 响应</w:t>
      </w:r>
      <w:r>
        <w:rPr>
          <w:rFonts w:hint="eastAsia" w:ascii="仿宋_GB2312" w:hAnsi="仿宋_GB2312" w:eastAsia="仿宋_GB2312" w:cs="仿宋_GB2312"/>
          <w:color w:val="111111"/>
          <w:kern w:val="0"/>
          <w:sz w:val="28"/>
          <w:szCs w:val="28"/>
          <w:shd w:val="clear" w:color="auto" w:fill="FEFEFE"/>
        </w:rPr>
        <w:t>声明、报价一览表、</w:t>
      </w:r>
      <w:r>
        <w:rPr>
          <w:rFonts w:hint="eastAsia" w:ascii="仿宋_GB2312" w:hAnsi="仿宋_GB2312" w:eastAsia="仿宋_GB2312" w:cs="仿宋_GB2312"/>
          <w:bCs/>
          <w:color w:val="111111"/>
          <w:kern w:val="0"/>
          <w:sz w:val="28"/>
          <w:szCs w:val="20"/>
        </w:rPr>
        <w:t>响应</w:t>
      </w:r>
      <w:r>
        <w:rPr>
          <w:rFonts w:hint="eastAsia" w:ascii="仿宋_GB2312" w:hAnsi="仿宋_GB2312" w:eastAsia="仿宋_GB2312" w:cs="仿宋_GB2312"/>
          <w:color w:val="111111"/>
          <w:kern w:val="0"/>
          <w:sz w:val="28"/>
          <w:szCs w:val="28"/>
          <w:shd w:val="clear" w:color="auto" w:fill="FEFEFE"/>
        </w:rPr>
        <w:t>人资格资料、</w:t>
      </w:r>
      <w:r>
        <w:rPr>
          <w:rFonts w:hint="eastAsia" w:ascii="仿宋_GB2312" w:hAnsi="仿宋_GB2312" w:eastAsia="仿宋_GB2312" w:cs="仿宋_GB2312"/>
          <w:bCs/>
          <w:color w:val="111111"/>
          <w:kern w:val="0"/>
          <w:sz w:val="28"/>
          <w:szCs w:val="20"/>
        </w:rPr>
        <w:t>法定代表人身份证复印件（如不是法定代表人，需要提供被委托人身份证复印件及授权委托书）</w:t>
      </w:r>
      <w:r>
        <w:rPr>
          <w:rFonts w:hint="eastAsia" w:ascii="仿宋_GB2312" w:hAnsi="仿宋_GB2312" w:eastAsia="仿宋_GB2312" w:cs="仿宋_GB2312"/>
          <w:color w:val="111111"/>
          <w:kern w:val="0"/>
          <w:sz w:val="28"/>
          <w:szCs w:val="28"/>
          <w:shd w:val="clear" w:color="auto" w:fill="FEFEFE"/>
        </w:rPr>
        <w:t>、营业执照复印件、公司业绩表、操作人员信息情况、相关资质证书等，以上资料均盖公章。响应文件须贰份，壹份正本壹份副本。</w:t>
      </w:r>
    </w:p>
    <w:p>
      <w:pPr>
        <w:pStyle w:val="19"/>
        <w:numPr>
          <w:ilvl w:val="0"/>
          <w:numId w:val="0"/>
        </w:numPr>
        <w:tabs>
          <w:tab w:val="left" w:pos="567"/>
          <w:tab w:val="left" w:pos="851"/>
        </w:tabs>
        <w:spacing w:line="360" w:lineRule="auto"/>
        <w:ind w:left="567" w:leftChars="0"/>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服务期限：</w:t>
      </w:r>
    </w:p>
    <w:p>
      <w:pPr>
        <w:pStyle w:val="19"/>
        <w:tabs>
          <w:tab w:val="left" w:pos="567"/>
          <w:tab w:val="left" w:pos="851"/>
        </w:tabs>
        <w:spacing w:line="360" w:lineRule="auto"/>
        <w:ind w:firstLine="56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28"/>
          <w:szCs w:val="28"/>
        </w:rPr>
        <w:t>服务时间：一年</w:t>
      </w:r>
      <w:r>
        <w:rPr>
          <w:rFonts w:hint="eastAsia" w:ascii="仿宋_GB2312" w:hAnsi="仿宋_GB2312" w:eastAsia="仿宋_GB2312" w:cs="仿宋_GB2312"/>
          <w:sz w:val="28"/>
          <w:szCs w:val="28"/>
          <w:lang w:eastAsia="zh-CN"/>
        </w:rPr>
        <w:t>。</w:t>
      </w:r>
    </w:p>
    <w:p>
      <w:pPr>
        <w:pStyle w:val="19"/>
        <w:numPr>
          <w:ilvl w:val="0"/>
          <w:numId w:val="0"/>
        </w:numPr>
        <w:tabs>
          <w:tab w:val="left" w:pos="567"/>
          <w:tab w:val="left" w:pos="851"/>
        </w:tabs>
        <w:spacing w:line="360" w:lineRule="auto"/>
        <w:ind w:left="567" w:leftChars="0"/>
        <w:rPr>
          <w:rFonts w:ascii="仿宋_GB2312" w:hAnsi="仿宋_GB2312" w:eastAsia="仿宋_GB2312" w:cs="仿宋_GB2312"/>
          <w:b/>
          <w:bCs/>
          <w:sz w:val="28"/>
          <w:szCs w:val="28"/>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付款方式：</w:t>
      </w:r>
      <w:r>
        <w:rPr>
          <w:rFonts w:hint="eastAsia" w:ascii="仿宋_GB2312" w:hAnsi="仿宋_GB2312" w:eastAsia="仿宋_GB2312" w:cs="仿宋_GB2312"/>
          <w:b/>
          <w:bCs/>
          <w:color w:val="111111"/>
          <w:kern w:val="0"/>
          <w:sz w:val="28"/>
          <w:szCs w:val="28"/>
          <w:shd w:val="clear" w:color="auto" w:fill="FEFEFE"/>
        </w:rPr>
        <w:t xml:space="preserve"> </w:t>
      </w:r>
    </w:p>
    <w:p>
      <w:pPr>
        <w:pStyle w:val="19"/>
        <w:spacing w:line="460" w:lineRule="exact"/>
        <w:ind w:firstLine="704" w:firstLineChars="220"/>
        <w:rPr>
          <w:rFonts w:ascii="仿宋_GB2312" w:hAnsi="宋体" w:eastAsia="仿宋_GB2312"/>
          <w:sz w:val="30"/>
          <w:szCs w:val="30"/>
        </w:rPr>
      </w:pPr>
      <w:r>
        <w:rPr>
          <w:rFonts w:hint="eastAsia" w:ascii="仿宋_GB2312" w:hAnsi="宋体" w:eastAsia="仿宋_GB2312" w:cs="宋体"/>
          <w:color w:val="111111"/>
          <w:kern w:val="0"/>
          <w:sz w:val="32"/>
          <w:szCs w:val="32"/>
          <w:shd w:val="clear" w:color="auto" w:fill="FEFEFE"/>
        </w:rPr>
        <w:t>每季度以对公转账方式支付</w:t>
      </w:r>
      <w:r>
        <w:rPr>
          <w:rFonts w:hint="eastAsia" w:ascii="仿宋_GB2312" w:hAnsi="宋体" w:eastAsia="仿宋_GB2312"/>
          <w:sz w:val="30"/>
          <w:szCs w:val="30"/>
        </w:rPr>
        <w:t>。</w:t>
      </w:r>
    </w:p>
    <w:p>
      <w:pPr>
        <w:pStyle w:val="19"/>
        <w:numPr>
          <w:ilvl w:val="0"/>
          <w:numId w:val="0"/>
        </w:numPr>
        <w:tabs>
          <w:tab w:val="left" w:pos="567"/>
          <w:tab w:val="left" w:pos="851"/>
        </w:tabs>
        <w:spacing w:line="360" w:lineRule="auto"/>
        <w:ind w:left="567" w:leftChars="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采购方式及结果</w:t>
      </w:r>
    </w:p>
    <w:p>
      <w:pPr>
        <w:spacing w:line="480" w:lineRule="auto"/>
        <w:ind w:firstLine="640" w:firstLineChars="200"/>
        <w:rPr>
          <w:rFonts w:hint="eastAsia" w:ascii="仿宋_GB2312" w:hAnsi="仿宋_GB2312" w:eastAsia="仿宋_GB2312" w:cs="仿宋_GB2312"/>
          <w:color w:val="111111"/>
          <w:kern w:val="0"/>
          <w:sz w:val="32"/>
          <w:szCs w:val="32"/>
          <w:shd w:val="clear" w:color="auto" w:fill="FEFEFE"/>
          <w:lang w:eastAsia="zh-CN"/>
        </w:rPr>
      </w:pPr>
      <w:r>
        <w:rPr>
          <w:rFonts w:hint="eastAsia" w:ascii="仿宋_GB2312" w:hAnsi="仿宋_GB2312" w:eastAsia="仿宋_GB2312" w:cs="仿宋_GB2312"/>
          <w:color w:val="111111"/>
          <w:kern w:val="0"/>
          <w:sz w:val="32"/>
          <w:szCs w:val="32"/>
          <w:shd w:val="clear" w:color="auto" w:fill="FEFEFE"/>
        </w:rPr>
        <w:t>1、采购方式：</w:t>
      </w:r>
      <w:r>
        <w:rPr>
          <w:rFonts w:hint="eastAsia" w:ascii="仿宋_GB2312" w:hAnsi="Calibri" w:eastAsia="仿宋_GB2312" w:cs="仿宋_GB2312"/>
          <w:color w:val="111111"/>
          <w:kern w:val="0"/>
          <w:sz w:val="32"/>
          <w:szCs w:val="32"/>
          <w:shd w:val="clear" w:color="auto" w:fill="FEFEFE"/>
        </w:rPr>
        <w:t>询价采购</w:t>
      </w:r>
      <w:r>
        <w:rPr>
          <w:rFonts w:hint="eastAsia" w:ascii="仿宋_GB2312" w:hAnsi="宋体" w:eastAsia="仿宋_GB2312" w:cs="宋体"/>
          <w:color w:val="111111"/>
          <w:kern w:val="0"/>
          <w:sz w:val="32"/>
          <w:szCs w:val="32"/>
          <w:shd w:val="clear" w:color="auto" w:fill="FEFEFE"/>
        </w:rPr>
        <w:t>；</w:t>
      </w:r>
    </w:p>
    <w:p>
      <w:pPr>
        <w:tabs>
          <w:tab w:val="left" w:pos="567"/>
          <w:tab w:val="left" w:pos="851"/>
        </w:tabs>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111111"/>
          <w:kern w:val="0"/>
          <w:sz w:val="32"/>
          <w:szCs w:val="32"/>
          <w:shd w:val="clear" w:color="auto" w:fill="FEFEFE"/>
        </w:rPr>
        <w:t>2、采购结果：在符合采购需求、质量和服务相符的前提下,采用竞争性谈判以有效报价最低者为成交供应商。响应人的报价不得高于采购人的控制单价，否则废标。</w:t>
      </w:r>
    </w:p>
    <w:p>
      <w:pPr>
        <w:pStyle w:val="19"/>
        <w:numPr>
          <w:ilvl w:val="0"/>
          <w:numId w:val="0"/>
        </w:numPr>
        <w:tabs>
          <w:tab w:val="left" w:pos="567"/>
          <w:tab w:val="left" w:pos="851"/>
        </w:tabs>
        <w:spacing w:line="360" w:lineRule="auto"/>
        <w:ind w:left="567" w:leftChars="0"/>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采</w:t>
      </w:r>
      <w:r>
        <w:rPr>
          <w:rFonts w:hint="eastAsia" w:ascii="仿宋_GB2312" w:hAnsi="仿宋_GB2312" w:eastAsia="仿宋_GB2312" w:cs="仿宋_GB2312"/>
          <w:b/>
          <w:sz w:val="32"/>
          <w:szCs w:val="32"/>
        </w:rPr>
        <w:t>购截止时间</w:t>
      </w:r>
      <w:r>
        <w:rPr>
          <w:rFonts w:hint="eastAsia" w:ascii="仿宋_GB2312" w:hAnsi="仿宋_GB2312" w:eastAsia="仿宋_GB2312" w:cs="仿宋_GB2312"/>
          <w:b/>
          <w:sz w:val="30"/>
          <w:szCs w:val="30"/>
        </w:rPr>
        <w:t>：</w:t>
      </w:r>
      <w:r>
        <w:rPr>
          <w:rFonts w:hint="eastAsia" w:ascii="仿宋_GB2312" w:hAnsi="仿宋_GB2312" w:eastAsia="仿宋_GB2312" w:cs="仿宋_GB2312"/>
          <w:color w:val="111111"/>
          <w:kern w:val="0"/>
          <w:sz w:val="32"/>
          <w:szCs w:val="32"/>
          <w:highlight w:val="none"/>
          <w:shd w:val="clear" w:color="auto" w:fill="FEFEFE"/>
        </w:rPr>
        <w:t>202</w:t>
      </w:r>
      <w:r>
        <w:rPr>
          <w:rFonts w:hint="eastAsia" w:ascii="仿宋_GB2312" w:hAnsi="仿宋_GB2312" w:eastAsia="仿宋_GB2312" w:cs="仿宋_GB2312"/>
          <w:color w:val="111111"/>
          <w:kern w:val="0"/>
          <w:sz w:val="32"/>
          <w:szCs w:val="32"/>
          <w:highlight w:val="none"/>
          <w:shd w:val="clear" w:color="auto" w:fill="FEFEFE"/>
          <w:lang w:val="en-US" w:eastAsia="zh-CN"/>
        </w:rPr>
        <w:t>3</w:t>
      </w:r>
      <w:r>
        <w:rPr>
          <w:rFonts w:hint="eastAsia" w:ascii="仿宋_GB2312" w:hAnsi="仿宋_GB2312" w:eastAsia="仿宋_GB2312" w:cs="仿宋_GB2312"/>
          <w:color w:val="111111"/>
          <w:kern w:val="0"/>
          <w:sz w:val="32"/>
          <w:szCs w:val="32"/>
          <w:highlight w:val="none"/>
          <w:shd w:val="clear" w:color="auto" w:fill="FEFEFE"/>
        </w:rPr>
        <w:t>年</w:t>
      </w:r>
      <w:r>
        <w:rPr>
          <w:rFonts w:hint="eastAsia" w:ascii="仿宋_GB2312" w:hAnsi="仿宋_GB2312" w:eastAsia="仿宋_GB2312" w:cs="仿宋_GB2312"/>
          <w:color w:val="111111"/>
          <w:kern w:val="0"/>
          <w:sz w:val="32"/>
          <w:szCs w:val="32"/>
          <w:highlight w:val="none"/>
          <w:shd w:val="clear" w:color="auto" w:fill="FEFEFE"/>
          <w:lang w:val="en-US" w:eastAsia="zh-CN"/>
        </w:rPr>
        <w:t>03</w:t>
      </w:r>
      <w:r>
        <w:rPr>
          <w:rFonts w:hint="eastAsia" w:ascii="仿宋_GB2312" w:hAnsi="仿宋_GB2312" w:eastAsia="仿宋_GB2312" w:cs="仿宋_GB2312"/>
          <w:color w:val="111111"/>
          <w:kern w:val="0"/>
          <w:sz w:val="32"/>
          <w:szCs w:val="32"/>
          <w:highlight w:val="none"/>
          <w:shd w:val="clear" w:color="auto" w:fill="FEFEFE"/>
        </w:rPr>
        <w:t>月</w:t>
      </w:r>
      <w:r>
        <w:rPr>
          <w:rFonts w:hint="eastAsia" w:ascii="仿宋_GB2312" w:hAnsi="仿宋_GB2312" w:eastAsia="仿宋_GB2312" w:cs="仿宋_GB2312"/>
          <w:color w:val="111111"/>
          <w:kern w:val="0"/>
          <w:sz w:val="32"/>
          <w:szCs w:val="32"/>
          <w:highlight w:val="none"/>
          <w:shd w:val="clear" w:color="auto" w:fill="FEFEFE"/>
          <w:lang w:val="en-US" w:eastAsia="zh-CN"/>
        </w:rPr>
        <w:t>16</w:t>
      </w:r>
      <w:r>
        <w:rPr>
          <w:rFonts w:hint="eastAsia" w:ascii="仿宋_GB2312" w:hAnsi="仿宋_GB2312" w:eastAsia="仿宋_GB2312" w:cs="仿宋_GB2312"/>
          <w:color w:val="111111"/>
          <w:kern w:val="0"/>
          <w:sz w:val="32"/>
          <w:szCs w:val="32"/>
          <w:highlight w:val="none"/>
          <w:shd w:val="clear" w:color="auto" w:fill="FEFEFE"/>
        </w:rPr>
        <w:t>日</w:t>
      </w:r>
      <w:r>
        <w:rPr>
          <w:rFonts w:hint="eastAsia" w:ascii="仿宋_GB2312" w:hAnsi="仿宋_GB2312" w:eastAsia="仿宋_GB2312" w:cs="仿宋_GB2312"/>
          <w:color w:val="111111"/>
          <w:kern w:val="0"/>
          <w:sz w:val="32"/>
          <w:szCs w:val="32"/>
          <w:highlight w:val="none"/>
          <w:shd w:val="clear" w:color="auto" w:fill="FEFEFE"/>
          <w:lang w:val="en-US" w:eastAsia="zh-CN"/>
        </w:rPr>
        <w:t>9时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jc w:val="both"/>
        <w:rPr>
          <w:rFonts w:ascii="仿宋_GB2312" w:hAnsi="仿宋_GB2312" w:eastAsia="仿宋_GB2312" w:cs="仿宋_GB2312"/>
          <w:sz w:val="32"/>
          <w:szCs w:val="32"/>
        </w:rPr>
      </w:pPr>
      <w:r>
        <w:rPr>
          <w:rFonts w:hint="eastAsia" w:ascii="仿宋_GB2312" w:hAnsi="仿宋_GB2312" w:eastAsia="仿宋_GB2312" w:cs="仿宋_GB2312"/>
          <w:color w:val="111111"/>
          <w:kern w:val="0"/>
          <w:sz w:val="32"/>
          <w:szCs w:val="32"/>
          <w:shd w:val="clear" w:color="auto" w:fill="FEFEFE"/>
        </w:rPr>
        <w:t>响应人应在采购截止时间之前将密封并在封签处加盖单位公章的响应文件送达</w:t>
      </w:r>
      <w:r>
        <w:rPr>
          <w:rFonts w:hint="eastAsia" w:ascii="仿宋_GB2312" w:hAnsi="仿宋_GB2312" w:eastAsia="仿宋_GB2312" w:cs="仿宋_GB2312"/>
          <w:b w:val="0"/>
          <w:bCs w:val="0"/>
          <w:i w:val="0"/>
          <w:iCs w:val="0"/>
          <w:caps w:val="0"/>
          <w:color w:val="111111"/>
          <w:spacing w:val="0"/>
          <w:kern w:val="0"/>
          <w:sz w:val="32"/>
          <w:szCs w:val="32"/>
          <w:shd w:val="clear" w:fill="FEFEFE"/>
          <w:lang w:val="en-US" w:eastAsia="zh-CN" w:bidi="ar"/>
        </w:rPr>
        <w:t>福建省三明市尤溪县城关镇康泰路1号2幢101室综合部</w:t>
      </w:r>
      <w:r>
        <w:rPr>
          <w:rFonts w:hint="eastAsia" w:ascii="仿宋_GB2312" w:hAnsi="仿宋_GB2312" w:eastAsia="仿宋_GB2312" w:cs="仿宋_GB2312"/>
          <w:color w:val="111111"/>
          <w:kern w:val="0"/>
          <w:sz w:val="32"/>
          <w:szCs w:val="32"/>
          <w:shd w:val="clear" w:color="auto" w:fill="FEFEFE"/>
        </w:rPr>
        <w:t>，递交后概不退还；逾期送达（以签到为准）、未送达指定地点及未按响应文件要求密封的投标文件均不予接受，视为自动弃权，责任自负。</w:t>
      </w:r>
    </w:p>
    <w:p>
      <w:pPr>
        <w:pStyle w:val="19"/>
        <w:numPr>
          <w:ilvl w:val="0"/>
          <w:numId w:val="0"/>
        </w:numPr>
        <w:tabs>
          <w:tab w:val="left" w:pos="567"/>
          <w:tab w:val="left" w:pos="851"/>
        </w:tabs>
        <w:spacing w:line="360" w:lineRule="auto"/>
        <w:ind w:left="567" w:leftChars="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十、开标</w:t>
      </w:r>
    </w:p>
    <w:p>
      <w:pPr>
        <w:widowControl/>
        <w:spacing w:line="480" w:lineRule="auto"/>
        <w:ind w:firstLine="800" w:firstLineChars="250"/>
        <w:jc w:val="left"/>
        <w:rPr>
          <w:rFonts w:hint="eastAsia" w:ascii="仿宋_GB2312" w:hAnsi="仿宋_GB2312" w:eastAsia="仿宋_GB2312" w:cs="仿宋_GB2312"/>
          <w:color w:val="111111"/>
          <w:kern w:val="0"/>
          <w:sz w:val="32"/>
          <w:szCs w:val="32"/>
          <w:shd w:val="clear" w:color="auto" w:fill="FEFEFE"/>
          <w:lang w:val="en-US" w:eastAsia="zh-CN"/>
        </w:rPr>
      </w:pPr>
      <w:r>
        <w:rPr>
          <w:rFonts w:hint="eastAsia" w:ascii="仿宋_GB2312" w:hAnsi="仿宋_GB2312" w:eastAsia="仿宋_GB2312" w:cs="仿宋_GB2312"/>
          <w:b/>
          <w:bCs/>
          <w:color w:val="111111"/>
          <w:kern w:val="0"/>
          <w:sz w:val="32"/>
          <w:szCs w:val="21"/>
        </w:rPr>
        <w:t>1、</w:t>
      </w:r>
      <w:r>
        <w:rPr>
          <w:rFonts w:hint="eastAsia" w:ascii="仿宋_GB2312" w:hAnsi="仿宋_GB2312" w:eastAsia="仿宋_GB2312" w:cs="仿宋_GB2312"/>
          <w:b/>
          <w:bCs/>
          <w:sz w:val="32"/>
          <w:szCs w:val="32"/>
          <w:lang w:eastAsia="zh-CN"/>
        </w:rPr>
        <w:t>开标</w:t>
      </w:r>
      <w:r>
        <w:rPr>
          <w:rFonts w:hint="eastAsia" w:ascii="仿宋_GB2312" w:hAnsi="仿宋_GB2312" w:eastAsia="仿宋_GB2312" w:cs="仿宋_GB2312"/>
          <w:b/>
          <w:bCs/>
          <w:color w:val="111111"/>
          <w:kern w:val="0"/>
          <w:sz w:val="32"/>
          <w:szCs w:val="21"/>
        </w:rPr>
        <w:t>地点：</w:t>
      </w:r>
      <w:r>
        <w:rPr>
          <w:rFonts w:hint="eastAsia" w:ascii="仿宋_GB2312" w:hAnsi="仿宋_GB2312" w:eastAsia="仿宋_GB2312" w:cs="仿宋_GB2312"/>
          <w:b w:val="0"/>
          <w:bCs w:val="0"/>
          <w:i w:val="0"/>
          <w:iCs w:val="0"/>
          <w:caps w:val="0"/>
          <w:color w:val="111111"/>
          <w:spacing w:val="0"/>
          <w:kern w:val="0"/>
          <w:sz w:val="32"/>
          <w:szCs w:val="32"/>
          <w:shd w:val="clear" w:fill="FEFEFE"/>
          <w:lang w:val="en-US" w:eastAsia="zh-CN" w:bidi="ar"/>
        </w:rPr>
        <w:t>福建省三明市尤溪县城关镇康泰路1号2幢1层</w:t>
      </w:r>
      <w:r>
        <w:rPr>
          <w:rFonts w:hint="eastAsia" w:ascii="仿宋_GB2312" w:hAnsi="仿宋_GB2312" w:eastAsia="仿宋_GB2312" w:cs="仿宋_GB2312"/>
          <w:color w:val="111111"/>
          <w:kern w:val="0"/>
          <w:sz w:val="32"/>
          <w:szCs w:val="32"/>
          <w:highlight w:val="none"/>
          <w:shd w:val="clear" w:color="auto" w:fill="FEFEFE"/>
          <w:lang w:eastAsia="zh-CN"/>
        </w:rPr>
        <w:t>会议室</w:t>
      </w:r>
    </w:p>
    <w:p>
      <w:pPr>
        <w:widowControl/>
        <w:spacing w:line="480" w:lineRule="auto"/>
        <w:ind w:firstLine="800" w:firstLineChars="250"/>
        <w:jc w:val="left"/>
        <w:rPr>
          <w:rFonts w:ascii="仿宋_GB2312" w:hAnsi="仿宋_GB2312" w:eastAsia="仿宋_GB2312" w:cs="仿宋_GB2312"/>
          <w:color w:val="111111"/>
          <w:kern w:val="0"/>
          <w:sz w:val="32"/>
          <w:szCs w:val="32"/>
          <w:highlight w:val="none"/>
          <w:shd w:val="clear" w:color="auto" w:fill="FEFEFE"/>
        </w:rPr>
      </w:pPr>
      <w:r>
        <w:rPr>
          <w:rFonts w:hint="eastAsia" w:ascii="仿宋_GB2312" w:hAnsi="仿宋_GB2312" w:eastAsia="仿宋_GB2312" w:cs="仿宋_GB2312"/>
          <w:b/>
          <w:bCs/>
          <w:color w:val="111111"/>
          <w:kern w:val="0"/>
          <w:sz w:val="32"/>
          <w:szCs w:val="21"/>
        </w:rPr>
        <w:t>2、</w:t>
      </w:r>
      <w:r>
        <w:rPr>
          <w:rFonts w:hint="eastAsia" w:ascii="仿宋_GB2312" w:hAnsi="仿宋_GB2312" w:eastAsia="仿宋_GB2312" w:cs="仿宋_GB2312"/>
          <w:b/>
          <w:bCs/>
          <w:sz w:val="32"/>
          <w:szCs w:val="32"/>
          <w:lang w:eastAsia="zh-CN"/>
        </w:rPr>
        <w:t>开标</w:t>
      </w:r>
      <w:bookmarkStart w:id="0" w:name="_GoBack"/>
      <w:bookmarkEnd w:id="0"/>
      <w:r>
        <w:rPr>
          <w:rFonts w:hint="eastAsia" w:ascii="仿宋_GB2312" w:hAnsi="仿宋_GB2312" w:eastAsia="仿宋_GB2312" w:cs="仿宋_GB2312"/>
          <w:b/>
          <w:bCs/>
          <w:color w:val="111111"/>
          <w:kern w:val="0"/>
          <w:sz w:val="32"/>
          <w:szCs w:val="21"/>
        </w:rPr>
        <w:t>时间：</w:t>
      </w:r>
      <w:r>
        <w:rPr>
          <w:rFonts w:hint="eastAsia" w:ascii="仿宋_GB2312" w:hAnsi="仿宋_GB2312" w:eastAsia="仿宋_GB2312" w:cs="仿宋_GB2312"/>
          <w:color w:val="111111"/>
          <w:kern w:val="0"/>
          <w:sz w:val="32"/>
          <w:szCs w:val="32"/>
          <w:highlight w:val="none"/>
          <w:shd w:val="clear" w:color="auto" w:fill="FEFEFE"/>
        </w:rPr>
        <w:t>暂定202</w:t>
      </w:r>
      <w:r>
        <w:rPr>
          <w:rFonts w:hint="eastAsia" w:ascii="仿宋_GB2312" w:hAnsi="仿宋_GB2312" w:eastAsia="仿宋_GB2312" w:cs="仿宋_GB2312"/>
          <w:color w:val="111111"/>
          <w:kern w:val="0"/>
          <w:sz w:val="32"/>
          <w:szCs w:val="32"/>
          <w:highlight w:val="none"/>
          <w:shd w:val="clear" w:color="auto" w:fill="FEFEFE"/>
          <w:lang w:val="en-US" w:eastAsia="zh-CN"/>
        </w:rPr>
        <w:t>3</w:t>
      </w:r>
      <w:r>
        <w:rPr>
          <w:rFonts w:hint="eastAsia" w:ascii="仿宋_GB2312" w:hAnsi="仿宋_GB2312" w:eastAsia="仿宋_GB2312" w:cs="仿宋_GB2312"/>
          <w:color w:val="111111"/>
          <w:kern w:val="0"/>
          <w:sz w:val="32"/>
          <w:szCs w:val="32"/>
          <w:highlight w:val="none"/>
          <w:shd w:val="clear" w:color="auto" w:fill="FEFEFE"/>
        </w:rPr>
        <w:t>年</w:t>
      </w:r>
      <w:r>
        <w:rPr>
          <w:rFonts w:hint="eastAsia" w:ascii="仿宋_GB2312" w:hAnsi="仿宋_GB2312" w:eastAsia="仿宋_GB2312" w:cs="仿宋_GB2312"/>
          <w:color w:val="111111"/>
          <w:kern w:val="0"/>
          <w:sz w:val="32"/>
          <w:szCs w:val="32"/>
          <w:highlight w:val="none"/>
          <w:shd w:val="clear" w:color="auto" w:fill="FEFEFE"/>
          <w:lang w:val="en-US" w:eastAsia="zh-CN"/>
        </w:rPr>
        <w:t>03</w:t>
      </w:r>
      <w:r>
        <w:rPr>
          <w:rFonts w:hint="eastAsia" w:ascii="仿宋_GB2312" w:hAnsi="仿宋_GB2312" w:eastAsia="仿宋_GB2312" w:cs="仿宋_GB2312"/>
          <w:color w:val="111111"/>
          <w:kern w:val="0"/>
          <w:sz w:val="32"/>
          <w:szCs w:val="32"/>
          <w:highlight w:val="none"/>
          <w:shd w:val="clear" w:color="auto" w:fill="FEFEFE"/>
        </w:rPr>
        <w:t>月</w:t>
      </w:r>
      <w:r>
        <w:rPr>
          <w:rFonts w:hint="eastAsia" w:ascii="仿宋_GB2312" w:hAnsi="仿宋_GB2312" w:eastAsia="仿宋_GB2312" w:cs="仿宋_GB2312"/>
          <w:color w:val="111111"/>
          <w:kern w:val="0"/>
          <w:sz w:val="32"/>
          <w:szCs w:val="32"/>
          <w:highlight w:val="none"/>
          <w:shd w:val="clear" w:color="auto" w:fill="FEFEFE"/>
          <w:lang w:val="en-US" w:eastAsia="zh-CN"/>
        </w:rPr>
        <w:t>16</w:t>
      </w:r>
      <w:r>
        <w:rPr>
          <w:rFonts w:hint="eastAsia" w:ascii="仿宋_GB2312" w:hAnsi="仿宋_GB2312" w:eastAsia="仿宋_GB2312" w:cs="仿宋_GB2312"/>
          <w:color w:val="111111"/>
          <w:kern w:val="0"/>
          <w:sz w:val="32"/>
          <w:szCs w:val="32"/>
          <w:highlight w:val="none"/>
          <w:shd w:val="clear" w:color="auto" w:fill="FEFEFE"/>
        </w:rPr>
        <w:t>日上午</w:t>
      </w:r>
      <w:r>
        <w:rPr>
          <w:rFonts w:hint="eastAsia" w:ascii="仿宋_GB2312" w:hAnsi="仿宋_GB2312" w:eastAsia="仿宋_GB2312" w:cs="仿宋_GB2312"/>
          <w:color w:val="111111"/>
          <w:kern w:val="0"/>
          <w:sz w:val="32"/>
          <w:szCs w:val="32"/>
          <w:highlight w:val="none"/>
          <w:shd w:val="clear" w:color="auto" w:fill="FEFEFE"/>
          <w:lang w:val="en-US" w:eastAsia="zh-CN"/>
        </w:rPr>
        <w:t>9时</w:t>
      </w:r>
      <w:r>
        <w:rPr>
          <w:rFonts w:hint="eastAsia" w:ascii="仿宋_GB2312" w:hAnsi="仿宋_GB2312" w:eastAsia="仿宋_GB2312" w:cs="仿宋_GB2312"/>
          <w:color w:val="111111"/>
          <w:kern w:val="0"/>
          <w:sz w:val="32"/>
          <w:szCs w:val="32"/>
          <w:highlight w:val="none"/>
          <w:shd w:val="clear" w:color="auto" w:fill="FEFEFE"/>
        </w:rPr>
        <w:t>（若有变动另行通知）。</w:t>
      </w:r>
    </w:p>
    <w:p>
      <w:pPr>
        <w:widowControl/>
        <w:spacing w:line="480" w:lineRule="auto"/>
        <w:jc w:val="right"/>
        <w:rPr>
          <w:rFonts w:hint="eastAsia"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shd w:val="clear" w:color="auto" w:fill="FEFEFE"/>
        </w:rPr>
        <w:t> </w:t>
      </w:r>
      <w:r>
        <w:rPr>
          <w:rFonts w:hint="eastAsia" w:ascii="仿宋_GB2312" w:hAnsi="仿宋_GB2312" w:eastAsia="仿宋_GB2312" w:cs="仿宋_GB2312"/>
          <w:color w:val="111111"/>
          <w:kern w:val="0"/>
          <w:sz w:val="32"/>
          <w:szCs w:val="32"/>
        </w:rPr>
        <w:t>厦门市观音山</w:t>
      </w:r>
      <w:r>
        <w:rPr>
          <w:rFonts w:hint="eastAsia" w:ascii="仿宋_GB2312" w:hAnsi="仿宋_GB2312" w:eastAsia="仿宋_GB2312" w:cs="仿宋_GB2312"/>
          <w:color w:val="111111"/>
          <w:kern w:val="0"/>
          <w:sz w:val="32"/>
          <w:szCs w:val="32"/>
          <w:lang w:eastAsia="zh-CN"/>
        </w:rPr>
        <w:t>城市</w:t>
      </w:r>
      <w:r>
        <w:rPr>
          <w:rFonts w:hint="eastAsia" w:ascii="仿宋_GB2312" w:hAnsi="仿宋_GB2312" w:eastAsia="仿宋_GB2312" w:cs="仿宋_GB2312"/>
          <w:color w:val="111111"/>
          <w:kern w:val="0"/>
          <w:sz w:val="32"/>
          <w:szCs w:val="32"/>
        </w:rPr>
        <w:t>服务</w:t>
      </w:r>
      <w:r>
        <w:rPr>
          <w:rFonts w:hint="eastAsia" w:ascii="仿宋_GB2312" w:hAnsi="仿宋_GB2312" w:eastAsia="仿宋_GB2312" w:cs="仿宋_GB2312"/>
          <w:color w:val="111111"/>
          <w:kern w:val="0"/>
          <w:sz w:val="32"/>
          <w:szCs w:val="32"/>
          <w:lang w:eastAsia="zh-CN"/>
        </w:rPr>
        <w:t>集团</w:t>
      </w:r>
      <w:r>
        <w:rPr>
          <w:rFonts w:hint="eastAsia" w:ascii="仿宋_GB2312" w:hAnsi="仿宋_GB2312" w:eastAsia="仿宋_GB2312" w:cs="仿宋_GB2312"/>
          <w:color w:val="111111"/>
          <w:kern w:val="0"/>
          <w:sz w:val="32"/>
          <w:szCs w:val="32"/>
        </w:rPr>
        <w:t>有限公司</w:t>
      </w:r>
    </w:p>
    <w:p>
      <w:pPr>
        <w:widowControl/>
        <w:shd w:val="clear" w:color="auto" w:fill="FEFEFE"/>
        <w:spacing w:line="340" w:lineRule="exact"/>
        <w:jc w:val="center"/>
        <w:rPr>
          <w:rFonts w:hint="eastAsia" w:ascii="仿宋_GB2312" w:hAnsi="仿宋_GB2312" w:eastAsia="仿宋_GB2312" w:cs="仿宋_GB2312"/>
          <w:color w:val="111111"/>
          <w:kern w:val="0"/>
          <w:sz w:val="16"/>
          <w:szCs w:val="16"/>
        </w:rPr>
      </w:pPr>
      <w:r>
        <w:rPr>
          <w:rFonts w:hint="eastAsia" w:ascii="仿宋_GB2312" w:hAnsi="仿宋_GB2312" w:eastAsia="仿宋_GB2312" w:cs="仿宋_GB2312"/>
          <w:color w:val="111111"/>
          <w:kern w:val="0"/>
          <w:sz w:val="32"/>
          <w:szCs w:val="32"/>
        </w:rPr>
        <w:t xml:space="preserve">                           </w:t>
      </w:r>
    </w:p>
    <w:p>
      <w:pPr>
        <w:widowControl/>
        <w:spacing w:line="340" w:lineRule="exact"/>
        <w:jc w:val="center"/>
        <w:rPr>
          <w:rFonts w:hint="eastAsia" w:ascii="仿宋_GB2312" w:hAnsi="仿宋_GB2312" w:eastAsia="仿宋_GB2312" w:cs="仿宋_GB2312"/>
          <w:color w:val="111111"/>
          <w:kern w:val="0"/>
          <w:sz w:val="32"/>
          <w:szCs w:val="32"/>
          <w:highlight w:val="yellow"/>
          <w:shd w:val="clear" w:color="auto" w:fill="FEFEFE"/>
        </w:rPr>
      </w:pPr>
      <w:r>
        <w:rPr>
          <w:rFonts w:hint="eastAsia" w:ascii="仿宋_GB2312" w:hAnsi="仿宋_GB2312" w:eastAsia="仿宋_GB2312" w:cs="仿宋_GB2312"/>
          <w:color w:val="111111"/>
          <w:kern w:val="0"/>
          <w:sz w:val="32"/>
          <w:szCs w:val="32"/>
          <w:shd w:val="clear" w:color="auto" w:fill="FEFEFE"/>
        </w:rPr>
        <w:t xml:space="preserve">                           </w:t>
      </w:r>
      <w:r>
        <w:rPr>
          <w:rFonts w:hint="eastAsia" w:ascii="仿宋_GB2312" w:hAnsi="仿宋_GB2312" w:eastAsia="仿宋_GB2312" w:cs="仿宋_GB2312"/>
          <w:color w:val="111111"/>
          <w:kern w:val="0"/>
          <w:sz w:val="32"/>
          <w:szCs w:val="32"/>
          <w:highlight w:val="none"/>
          <w:shd w:val="clear" w:color="auto" w:fill="FEFEFE"/>
        </w:rPr>
        <w:t>202</w:t>
      </w:r>
      <w:r>
        <w:rPr>
          <w:rFonts w:hint="eastAsia" w:ascii="仿宋_GB2312" w:hAnsi="仿宋_GB2312" w:eastAsia="仿宋_GB2312" w:cs="仿宋_GB2312"/>
          <w:color w:val="111111"/>
          <w:kern w:val="0"/>
          <w:sz w:val="32"/>
          <w:szCs w:val="32"/>
          <w:highlight w:val="none"/>
          <w:shd w:val="clear" w:color="auto" w:fill="FEFEFE"/>
          <w:lang w:val="en-US" w:eastAsia="zh-CN"/>
        </w:rPr>
        <w:t>3</w:t>
      </w:r>
      <w:r>
        <w:rPr>
          <w:rFonts w:hint="eastAsia" w:ascii="仿宋_GB2312" w:hAnsi="仿宋_GB2312" w:eastAsia="仿宋_GB2312" w:cs="仿宋_GB2312"/>
          <w:color w:val="111111"/>
          <w:kern w:val="0"/>
          <w:sz w:val="32"/>
          <w:szCs w:val="32"/>
          <w:highlight w:val="none"/>
          <w:shd w:val="clear" w:color="auto" w:fill="FEFEFE"/>
        </w:rPr>
        <w:t>年</w:t>
      </w:r>
      <w:r>
        <w:rPr>
          <w:rFonts w:hint="eastAsia" w:ascii="仿宋_GB2312" w:hAnsi="仿宋_GB2312" w:eastAsia="仿宋_GB2312" w:cs="仿宋_GB2312"/>
          <w:color w:val="111111"/>
          <w:kern w:val="0"/>
          <w:sz w:val="32"/>
          <w:szCs w:val="32"/>
          <w:highlight w:val="none"/>
          <w:shd w:val="clear" w:color="auto" w:fill="FEFEFE"/>
          <w:lang w:val="en-US" w:eastAsia="zh-CN"/>
        </w:rPr>
        <w:t>03</w:t>
      </w:r>
      <w:r>
        <w:rPr>
          <w:rFonts w:hint="eastAsia" w:ascii="仿宋_GB2312" w:hAnsi="仿宋_GB2312" w:eastAsia="仿宋_GB2312" w:cs="仿宋_GB2312"/>
          <w:color w:val="111111"/>
          <w:kern w:val="0"/>
          <w:sz w:val="32"/>
          <w:szCs w:val="32"/>
          <w:highlight w:val="none"/>
          <w:shd w:val="clear" w:color="auto" w:fill="FEFEFE"/>
        </w:rPr>
        <w:t>月</w:t>
      </w:r>
      <w:r>
        <w:rPr>
          <w:rFonts w:hint="eastAsia" w:ascii="仿宋_GB2312" w:hAnsi="仿宋_GB2312" w:eastAsia="仿宋_GB2312" w:cs="仿宋_GB2312"/>
          <w:color w:val="111111"/>
          <w:kern w:val="0"/>
          <w:sz w:val="32"/>
          <w:szCs w:val="32"/>
          <w:highlight w:val="none"/>
          <w:shd w:val="clear" w:color="auto" w:fill="FEFEFE"/>
          <w:lang w:val="en-US" w:eastAsia="zh-CN"/>
        </w:rPr>
        <w:t>08</w:t>
      </w:r>
      <w:r>
        <w:rPr>
          <w:rFonts w:hint="eastAsia" w:ascii="仿宋_GB2312" w:hAnsi="仿宋_GB2312" w:eastAsia="仿宋_GB2312" w:cs="仿宋_GB2312"/>
          <w:color w:val="111111"/>
          <w:kern w:val="0"/>
          <w:sz w:val="32"/>
          <w:szCs w:val="32"/>
          <w:highlight w:val="none"/>
          <w:shd w:val="clear" w:color="auto" w:fill="FEFEFE"/>
        </w:rPr>
        <w:t>日</w:t>
      </w: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jc w:val="left"/>
        <w:rPr>
          <w:rFonts w:hint="default" w:eastAsia="宋体"/>
          <w:b/>
          <w:sz w:val="32"/>
          <w:szCs w:val="32"/>
          <w:lang w:val="en-US" w:eastAsia="zh-CN"/>
        </w:rPr>
      </w:pPr>
      <w:r>
        <w:rPr>
          <w:rFonts w:hint="eastAsia"/>
          <w:b/>
          <w:sz w:val="32"/>
          <w:szCs w:val="32"/>
          <w:lang w:val="en-US" w:eastAsia="zh-CN"/>
        </w:rPr>
        <w:t>附件1：</w:t>
      </w:r>
    </w:p>
    <w:p>
      <w:pPr>
        <w:keepNext w:val="0"/>
        <w:keepLines w:val="0"/>
        <w:pageBreakBefore w:val="0"/>
        <w:widowControl w:val="0"/>
        <w:shd w:val="solid" w:color="FFFFFF" w:fill="auto"/>
        <w:kinsoku/>
        <w:wordWrap/>
        <w:overflowPunct/>
        <w:topLinePunct w:val="0"/>
        <w:autoSpaceDE/>
        <w:autoSpaceDN w:val="0"/>
        <w:bidi w:val="0"/>
        <w:adjustRightInd/>
        <w:snapToGrid w:val="0"/>
        <w:spacing w:line="480" w:lineRule="exact"/>
        <w:jc w:val="left"/>
        <w:textAlignment w:val="auto"/>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val="en-US" w:eastAsia="zh-CN"/>
        </w:rPr>
        <w:t>考核标准</w:t>
      </w:r>
      <w:r>
        <w:rPr>
          <w:rFonts w:hint="eastAsia" w:ascii="仿宋" w:hAnsi="仿宋" w:eastAsia="仿宋" w:cs="仿宋"/>
          <w:sz w:val="24"/>
          <w:shd w:val="clear" w:color="auto" w:fill="FFFFFF"/>
          <w:lang w:eastAsia="zh-CN"/>
        </w:rPr>
        <w:t>：</w:t>
      </w:r>
    </w:p>
    <w:p>
      <w:pPr>
        <w:bidi w:val="0"/>
        <w:jc w:val="left"/>
        <w:rPr>
          <w:rFonts w:hint="eastAsia" w:ascii="仿宋" w:hAnsi="仿宋" w:eastAsia="仿宋" w:cs="仿宋"/>
          <w:sz w:val="24"/>
          <w:szCs w:val="24"/>
          <w:lang w:val="en-US" w:eastAsia="zh-CN"/>
        </w:rPr>
      </w:pPr>
    </w:p>
    <w:p>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苗木植株健壮、主杆直挺、叶色翠绿、冠幅完整、卫生整洁、基本无杂草、无缺株死苗。绿地整齐美观具有观赏性。</w:t>
      </w:r>
    </w:p>
    <w:p>
      <w:pPr>
        <w:pStyle w:val="2"/>
        <w:rPr>
          <w:rFonts w:hint="default"/>
          <w:lang w:val="en-US" w:eastAsia="zh-CN"/>
        </w:rPr>
      </w:pPr>
      <w:r>
        <w:rPr>
          <w:rFonts w:hint="eastAsia"/>
          <w:lang w:val="en-US" w:eastAsia="zh-CN"/>
        </w:rPr>
        <w:t>检查方法</w:t>
      </w:r>
    </w:p>
    <w:tbl>
      <w:tblPr>
        <w:tblStyle w:val="12"/>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914"/>
        <w:gridCol w:w="1715"/>
        <w:gridCol w:w="2957"/>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分类</w:t>
            </w: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序号</w:t>
            </w:r>
          </w:p>
        </w:tc>
        <w:tc>
          <w:tcPr>
            <w:tcW w:w="1715" w:type="dxa"/>
            <w:vAlign w:val="center"/>
          </w:tcPr>
          <w:p>
            <w:pPr>
              <w:adjustRightInd w:val="0"/>
              <w:snapToGrid w:val="0"/>
              <w:spacing w:line="340" w:lineRule="exact"/>
              <w:ind w:left="-77" w:leftChars="-37" w:right="-79" w:rightChars="-38"/>
              <w:jc w:val="center"/>
              <w:rPr>
                <w:rFonts w:hint="eastAsia" w:ascii="仿宋" w:hAnsi="仿宋" w:eastAsia="仿宋" w:cs="仿宋"/>
                <w:szCs w:val="21"/>
              </w:rPr>
            </w:pPr>
            <w:r>
              <w:rPr>
                <w:rFonts w:hint="eastAsia" w:ascii="仿宋" w:hAnsi="仿宋" w:eastAsia="仿宋" w:cs="仿宋"/>
                <w:szCs w:val="21"/>
              </w:rPr>
              <w:t>项　目</w:t>
            </w:r>
          </w:p>
        </w:tc>
        <w:tc>
          <w:tcPr>
            <w:tcW w:w="2957" w:type="dxa"/>
            <w:vAlign w:val="center"/>
          </w:tcPr>
          <w:p>
            <w:pPr>
              <w:adjustRightInd w:val="0"/>
              <w:snapToGrid w:val="0"/>
              <w:spacing w:line="340" w:lineRule="exact"/>
              <w:ind w:left="12" w:leftChars="6" w:right="18" w:rightChars="9"/>
              <w:jc w:val="center"/>
              <w:rPr>
                <w:rFonts w:hint="eastAsia" w:ascii="仿宋" w:hAnsi="仿宋" w:eastAsia="仿宋" w:cs="仿宋"/>
                <w:szCs w:val="21"/>
                <w:lang w:eastAsia="zh-CN"/>
              </w:rPr>
            </w:pPr>
            <w:r>
              <w:rPr>
                <w:rFonts w:hint="eastAsia" w:ascii="仿宋" w:hAnsi="仿宋" w:eastAsia="仿宋" w:cs="仿宋"/>
                <w:szCs w:val="21"/>
                <w:lang w:val="en-US" w:eastAsia="zh-CN"/>
              </w:rPr>
              <w:t>标准</w:t>
            </w:r>
          </w:p>
        </w:tc>
        <w:tc>
          <w:tcPr>
            <w:tcW w:w="2957" w:type="dxa"/>
            <w:vAlign w:val="center"/>
          </w:tcPr>
          <w:p>
            <w:pPr>
              <w:adjustRightInd w:val="0"/>
              <w:snapToGrid w:val="0"/>
              <w:spacing w:line="340" w:lineRule="exact"/>
              <w:ind w:left="-86" w:leftChars="-41" w:right="-67" w:rightChars="-32"/>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2" w:type="dxa"/>
            <w:vMerge w:val="restart"/>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除草</w:t>
            </w: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1</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除杂草</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无明显杂草，草坪、地被纯度在90%以上</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目视。草地50㎡3处，平均值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2</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松土</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树木底下土壤疏松，透气良好</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目视，取样检查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3</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清理枯枝落叶</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无明显枯枝落叶，环境整洁</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4</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清理绿地石块</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无明显砖石瓦砾，绿地整洁</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742"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灌溉</w:t>
            </w: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5</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树木、草地浇水</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冬季中午浇水，夏季早晚浇水。浇水不遗漏，每次浇透浇足，见干见湿</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目视、手测，浇水时间抽查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2" w:type="dxa"/>
            <w:vMerge w:val="restart"/>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修剪</w:t>
            </w:r>
          </w:p>
        </w:tc>
        <w:tc>
          <w:tcPr>
            <w:tcW w:w="914" w:type="dxa"/>
            <w:vAlign w:val="center"/>
          </w:tcPr>
          <w:p>
            <w:pPr>
              <w:adjustRightInd w:val="0"/>
              <w:snapToGrid w:val="0"/>
              <w:spacing w:line="3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6</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乔木整枝</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及时修去枯死枝、病虫枝、徒长枝、内堂枝并生枝和损伤枝。使得树枝分布均匀，树形优美，无多余枝条</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目视检查，抽检10棵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7</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灌木整枝</w:t>
            </w:r>
          </w:p>
        </w:tc>
        <w:tc>
          <w:tcPr>
            <w:tcW w:w="2957" w:type="dxa"/>
          </w:tcPr>
          <w:p>
            <w:pPr>
              <w:adjustRightInd w:val="0"/>
              <w:snapToGrid w:val="0"/>
              <w:spacing w:line="340" w:lineRule="exact"/>
              <w:ind w:left="12" w:leftChars="6" w:right="18" w:rightChars="9"/>
              <w:rPr>
                <w:rFonts w:hint="default" w:ascii="仿宋" w:hAnsi="仿宋" w:eastAsia="仿宋" w:cs="仿宋"/>
                <w:szCs w:val="21"/>
                <w:lang w:val="en-US" w:eastAsia="zh-CN"/>
              </w:rPr>
            </w:pPr>
            <w:r>
              <w:rPr>
                <w:rFonts w:hint="eastAsia" w:ascii="仿宋" w:hAnsi="仿宋" w:eastAsia="仿宋" w:cs="仿宋"/>
                <w:szCs w:val="21"/>
              </w:rPr>
              <w:t>根据花灌木的开花习性做适当修剪</w:t>
            </w:r>
            <w:r>
              <w:rPr>
                <w:rFonts w:hint="eastAsia" w:ascii="仿宋" w:hAnsi="仿宋" w:eastAsia="仿宋" w:cs="仿宋"/>
                <w:szCs w:val="21"/>
                <w:lang w:eastAsia="zh-CN"/>
              </w:rPr>
              <w:t>，</w:t>
            </w:r>
            <w:r>
              <w:rPr>
                <w:rFonts w:hint="eastAsia" w:ascii="仿宋" w:hAnsi="仿宋" w:eastAsia="仿宋" w:cs="仿宋"/>
                <w:szCs w:val="21"/>
                <w:lang w:val="en-US" w:eastAsia="zh-CN"/>
              </w:rPr>
              <w:t>不高于25CM</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目视，抽查3处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8</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绿篱修剪</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绿篱成型，线条整齐，</w:t>
            </w:r>
            <w:r>
              <w:rPr>
                <w:rFonts w:hint="eastAsia" w:ascii="仿宋" w:hAnsi="仿宋" w:eastAsia="仿宋" w:cs="仿宋"/>
                <w:szCs w:val="21"/>
                <w:lang w:val="en-US" w:eastAsia="zh-CN"/>
              </w:rPr>
              <w:t>品</w:t>
            </w:r>
            <w:r>
              <w:rPr>
                <w:rFonts w:hint="eastAsia" w:ascii="仿宋" w:hAnsi="仿宋" w:eastAsia="仿宋" w:cs="仿宋"/>
                <w:szCs w:val="21"/>
              </w:rPr>
              <w:t>种之间有界限。造型美观，长势良好</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目视，抽查5处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2" w:type="dxa"/>
            <w:vMerge w:val="restart"/>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施肥</w:t>
            </w:r>
          </w:p>
        </w:tc>
        <w:tc>
          <w:tcPr>
            <w:tcW w:w="914" w:type="dxa"/>
            <w:vAlign w:val="center"/>
          </w:tcPr>
          <w:p>
            <w:pPr>
              <w:adjustRightInd w:val="0"/>
              <w:snapToGrid w:val="0"/>
              <w:spacing w:line="3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9</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乔木灌木</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采取沟施或穴施。施肥、浇水及时，覆土平整，肥料不露出土面，不玷污树木叶面</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10</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草地、地被施肥</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播施或喷施。结合天气在雨天前进行。浓度合适</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42"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防台</w:t>
            </w: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11</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防</w:t>
            </w:r>
            <w:r>
              <w:rPr>
                <w:rFonts w:hint="eastAsia" w:ascii="仿宋" w:hAnsi="仿宋" w:eastAsia="仿宋" w:cs="仿宋"/>
                <w:szCs w:val="21"/>
                <w:lang w:val="en-US" w:eastAsia="zh-CN"/>
              </w:rPr>
              <w:t>台</w:t>
            </w:r>
            <w:r>
              <w:rPr>
                <w:rFonts w:hint="eastAsia" w:ascii="仿宋" w:hAnsi="仿宋" w:eastAsia="仿宋" w:cs="仿宋"/>
                <w:szCs w:val="21"/>
              </w:rPr>
              <w:t>工作</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在大风来之前做好立支柱，删去密枝等工作，风雨过后12小时内，能及时清除断枝落叶，扶正倒斜树木。</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补栽补种</w:t>
            </w: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12</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补栽补种</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无明显黄土裸露，如发现有植株死亡和缺少，在发现后一周内，更换相同种类和高度的植物，及时浇水，保证成活</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42"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防病治虫</w:t>
            </w: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13</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防病治虫</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预防在前，除治在后，出示警示牌。</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742" w:type="dxa"/>
            <w:vMerge w:val="restart"/>
            <w:shd w:val="clear" w:color="auto" w:fill="auto"/>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养护</w:t>
            </w:r>
          </w:p>
        </w:tc>
        <w:tc>
          <w:tcPr>
            <w:tcW w:w="914" w:type="dxa"/>
            <w:shd w:val="clear" w:color="auto" w:fill="auto"/>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14</w:t>
            </w:r>
          </w:p>
        </w:tc>
        <w:tc>
          <w:tcPr>
            <w:tcW w:w="1715" w:type="dxa"/>
            <w:shd w:val="clear" w:color="auto" w:fill="auto"/>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草坪养护</w:t>
            </w:r>
          </w:p>
        </w:tc>
        <w:tc>
          <w:tcPr>
            <w:tcW w:w="2957" w:type="dxa"/>
            <w:shd w:val="clear" w:color="auto" w:fill="auto"/>
          </w:tcPr>
          <w:p>
            <w:pPr>
              <w:adjustRightInd w:val="0"/>
              <w:snapToGrid w:val="0"/>
              <w:spacing w:line="340" w:lineRule="exact"/>
              <w:ind w:left="12" w:leftChars="6" w:right="18" w:rightChars="9"/>
              <w:rPr>
                <w:rFonts w:hint="default" w:ascii="仿宋" w:hAnsi="仿宋" w:eastAsia="仿宋" w:cs="仿宋"/>
                <w:szCs w:val="21"/>
                <w:lang w:val="en-US" w:eastAsia="zh-CN"/>
              </w:rPr>
            </w:pPr>
            <w:r>
              <w:rPr>
                <w:rFonts w:hint="eastAsia" w:ascii="仿宋" w:hAnsi="仿宋" w:eastAsia="仿宋" w:cs="仿宋"/>
                <w:szCs w:val="21"/>
              </w:rPr>
              <w:t>草坪修剪高度在</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lang w:val="en-US" w:eastAsia="zh-CN"/>
              </w:rPr>
              <w:t>存活率95%</w:t>
            </w:r>
          </w:p>
        </w:tc>
        <w:tc>
          <w:tcPr>
            <w:tcW w:w="2957" w:type="dxa"/>
            <w:shd w:val="clear" w:color="auto" w:fill="auto"/>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15</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地被养护</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无明显病虫为害症状。无杂草、藤蔓缠绕；适时修剪</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16</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树木养护</w:t>
            </w:r>
          </w:p>
        </w:tc>
        <w:tc>
          <w:tcPr>
            <w:tcW w:w="2957" w:type="dxa"/>
          </w:tcPr>
          <w:p>
            <w:pPr>
              <w:spacing w:line="340" w:lineRule="exact"/>
              <w:rPr>
                <w:rFonts w:hint="eastAsia" w:ascii="仿宋" w:hAnsi="仿宋" w:eastAsia="仿宋" w:cs="仿宋"/>
                <w:szCs w:val="21"/>
              </w:rPr>
            </w:pPr>
            <w:r>
              <w:rPr>
                <w:rFonts w:hint="eastAsia" w:ascii="仿宋" w:hAnsi="仿宋" w:eastAsia="仿宋" w:cs="仿宋"/>
                <w:szCs w:val="21"/>
              </w:rPr>
              <w:t>树木生长健壮、旺盛；无枯死枝、病虫枝；树干无藤物缠绕，树梢无悬挂物；无明显病虫为害症状；按树木生长规律和要求施肥；死树枯枝及时清理。</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742" w:type="dxa"/>
            <w:vAlign w:val="center"/>
          </w:tcPr>
          <w:p>
            <w:pPr>
              <w:widowControl/>
              <w:spacing w:line="340" w:lineRule="exact"/>
              <w:jc w:val="center"/>
              <w:rPr>
                <w:rFonts w:hint="eastAsia" w:ascii="仿宋" w:hAnsi="仿宋" w:eastAsia="仿宋" w:cs="仿宋"/>
                <w:szCs w:val="21"/>
              </w:rPr>
            </w:pPr>
            <w:r>
              <w:rPr>
                <w:rFonts w:hint="eastAsia" w:ascii="仿宋" w:hAnsi="仿宋" w:eastAsia="仿宋" w:cs="仿宋"/>
                <w:szCs w:val="21"/>
              </w:rPr>
              <w:t>绿化</w:t>
            </w:r>
          </w:p>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保洁</w:t>
            </w: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17</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绿化保洁</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绿地无大量落叶杂物,无枯枝,绿化垃圾及时清运</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trPr>
        <w:tc>
          <w:tcPr>
            <w:tcW w:w="742" w:type="dxa"/>
            <w:vAlign w:val="center"/>
          </w:tcPr>
          <w:p>
            <w:pPr>
              <w:widowControl/>
              <w:spacing w:line="340" w:lineRule="exact"/>
              <w:jc w:val="center"/>
              <w:rPr>
                <w:rFonts w:hint="eastAsia" w:ascii="仿宋" w:hAnsi="仿宋" w:eastAsia="仿宋" w:cs="仿宋"/>
                <w:szCs w:val="21"/>
              </w:rPr>
            </w:pPr>
            <w:r>
              <w:rPr>
                <w:rFonts w:hint="eastAsia" w:ascii="仿宋" w:hAnsi="仿宋" w:eastAsia="仿宋" w:cs="仿宋"/>
                <w:szCs w:val="21"/>
              </w:rPr>
              <w:t>绿化岗位</w:t>
            </w: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18</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作业人员</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着工作服，按时上下班，无吸烟现象。绿化作业按操作规程完成，符合专业化；服从</w:t>
            </w:r>
            <w:r>
              <w:rPr>
                <w:rFonts w:hint="eastAsia" w:ascii="仿宋" w:hAnsi="仿宋" w:eastAsia="仿宋" w:cs="仿宋"/>
                <w:szCs w:val="21"/>
                <w:lang w:val="en-US" w:eastAsia="zh-CN"/>
              </w:rPr>
              <w:t>采购方</w:t>
            </w:r>
            <w:r>
              <w:rPr>
                <w:rFonts w:hint="eastAsia" w:ascii="仿宋" w:hAnsi="仿宋" w:eastAsia="仿宋" w:cs="仿宋"/>
                <w:szCs w:val="21"/>
              </w:rPr>
              <w:t>工作安排</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抽查</w:t>
            </w:r>
          </w:p>
        </w:tc>
      </w:tr>
    </w:tbl>
    <w:p>
      <w:pPr>
        <w:bidi w:val="0"/>
        <w:jc w:val="left"/>
        <w:rPr>
          <w:rFonts w:hint="eastAsia"/>
          <w:lang w:val="en-US" w:eastAsia="zh-CN"/>
        </w:rPr>
      </w:pPr>
    </w:p>
    <w:p>
      <w:pPr>
        <w:pStyle w:val="2"/>
        <w:rPr>
          <w:rFonts w:hint="eastAsia" w:ascii="新宋体" w:hAnsi="新宋体" w:eastAsia="新宋体" w:cs="新宋体"/>
          <w:b/>
          <w:bCs/>
          <w:sz w:val="30"/>
          <w:szCs w:val="30"/>
        </w:rPr>
      </w:pPr>
    </w:p>
    <w:p>
      <w:pPr>
        <w:pStyle w:val="3"/>
        <w:rPr>
          <w:rFonts w:hint="eastAsia" w:ascii="新宋体" w:hAnsi="新宋体" w:eastAsia="新宋体" w:cs="新宋体"/>
          <w:b/>
          <w:bCs/>
          <w:sz w:val="30"/>
          <w:szCs w:val="30"/>
        </w:rPr>
      </w:pPr>
    </w:p>
    <w:p>
      <w:pPr>
        <w:pStyle w:val="5"/>
        <w:rPr>
          <w:rFonts w:hint="eastAsia" w:ascii="新宋体" w:hAnsi="新宋体" w:eastAsia="新宋体" w:cs="新宋体"/>
          <w:b/>
          <w:bCs/>
          <w:sz w:val="30"/>
          <w:szCs w:val="30"/>
        </w:rPr>
      </w:pPr>
    </w:p>
    <w:p>
      <w:pPr>
        <w:rPr>
          <w:rFonts w:hint="eastAsia" w:ascii="新宋体" w:hAnsi="新宋体" w:eastAsia="新宋体" w:cs="新宋体"/>
          <w:b/>
          <w:bCs/>
          <w:sz w:val="30"/>
          <w:szCs w:val="30"/>
        </w:rPr>
      </w:pPr>
    </w:p>
    <w:p>
      <w:pPr>
        <w:pStyle w:val="2"/>
        <w:rPr>
          <w:rFonts w:hint="eastAsia" w:ascii="新宋体" w:hAnsi="新宋体" w:eastAsia="新宋体" w:cs="新宋体"/>
          <w:b/>
          <w:bCs/>
          <w:sz w:val="30"/>
          <w:szCs w:val="30"/>
        </w:rPr>
      </w:pPr>
    </w:p>
    <w:p>
      <w:pPr>
        <w:pStyle w:val="3"/>
        <w:rPr>
          <w:rFonts w:hint="eastAsia" w:ascii="新宋体" w:hAnsi="新宋体" w:eastAsia="新宋体" w:cs="新宋体"/>
          <w:b/>
          <w:bCs/>
          <w:sz w:val="30"/>
          <w:szCs w:val="30"/>
        </w:rPr>
      </w:pPr>
    </w:p>
    <w:p>
      <w:pPr>
        <w:pStyle w:val="5"/>
        <w:rPr>
          <w:rFonts w:hint="eastAsia" w:ascii="新宋体" w:hAnsi="新宋体" w:eastAsia="新宋体" w:cs="新宋体"/>
          <w:b/>
          <w:bCs/>
          <w:sz w:val="30"/>
          <w:szCs w:val="30"/>
        </w:rPr>
      </w:pPr>
    </w:p>
    <w:p>
      <w:pPr>
        <w:rPr>
          <w:rFonts w:hint="eastAsia" w:ascii="新宋体" w:hAnsi="新宋体" w:eastAsia="新宋体" w:cs="新宋体"/>
          <w:b/>
          <w:bCs/>
          <w:sz w:val="30"/>
          <w:szCs w:val="30"/>
        </w:rPr>
      </w:pPr>
    </w:p>
    <w:p>
      <w:pPr>
        <w:pStyle w:val="2"/>
        <w:rPr>
          <w:rFonts w:hint="eastAsia" w:ascii="新宋体" w:hAnsi="新宋体" w:eastAsia="新宋体" w:cs="新宋体"/>
          <w:b/>
          <w:bCs/>
          <w:sz w:val="30"/>
          <w:szCs w:val="30"/>
        </w:rPr>
      </w:pPr>
    </w:p>
    <w:p>
      <w:pPr>
        <w:pStyle w:val="3"/>
        <w:rPr>
          <w:rFonts w:hint="eastAsia" w:ascii="新宋体" w:hAnsi="新宋体" w:eastAsia="新宋体" w:cs="新宋体"/>
          <w:b/>
          <w:bCs/>
          <w:sz w:val="30"/>
          <w:szCs w:val="30"/>
        </w:rPr>
      </w:pPr>
    </w:p>
    <w:p>
      <w:pPr>
        <w:pStyle w:val="5"/>
      </w:pPr>
    </w:p>
    <w:p>
      <w:pPr>
        <w:adjustRightInd w:val="0"/>
        <w:snapToGrid w:val="0"/>
        <w:spacing w:line="360" w:lineRule="exact"/>
        <w:jc w:val="center"/>
        <w:rPr>
          <w:rFonts w:hint="eastAsia" w:ascii="新宋体" w:hAnsi="新宋体" w:eastAsia="新宋体" w:cs="新宋体"/>
          <w:sz w:val="24"/>
        </w:rPr>
      </w:pPr>
      <w:r>
        <w:rPr>
          <w:rFonts w:hint="eastAsia" w:ascii="新宋体" w:hAnsi="新宋体" w:eastAsia="新宋体" w:cs="新宋体"/>
          <w:sz w:val="24"/>
        </w:rPr>
        <w:t xml:space="preserve">           </w:t>
      </w:r>
    </w:p>
    <w:p>
      <w:pPr>
        <w:adjustRightInd w:val="0"/>
        <w:snapToGrid w:val="0"/>
        <w:spacing w:line="360" w:lineRule="exact"/>
        <w:jc w:val="center"/>
        <w:rPr>
          <w:rFonts w:hint="eastAsia" w:ascii="新宋体" w:hAnsi="新宋体" w:eastAsia="新宋体" w:cs="新宋体"/>
          <w:b/>
          <w:bCs/>
          <w:sz w:val="30"/>
          <w:szCs w:val="30"/>
        </w:rPr>
      </w:pPr>
    </w:p>
    <w:p>
      <w:pPr>
        <w:adjustRightInd w:val="0"/>
        <w:snapToGrid w:val="0"/>
        <w:spacing w:line="36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绿化工作检查表</w:t>
      </w:r>
    </w:p>
    <w:p>
      <w:pPr>
        <w:adjustRightInd w:val="0"/>
        <w:snapToGrid w:val="0"/>
        <w:spacing w:line="360" w:lineRule="exact"/>
        <w:jc w:val="center"/>
        <w:rPr>
          <w:rFonts w:hAnsi="宋体"/>
          <w:sz w:val="24"/>
        </w:rPr>
      </w:pPr>
    </w:p>
    <w:tbl>
      <w:tblPr>
        <w:tblStyle w:val="12"/>
        <w:tblW w:w="902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759"/>
        <w:gridCol w:w="1658"/>
        <w:gridCol w:w="822"/>
        <w:gridCol w:w="2517"/>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分类</w:t>
            </w: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序号</w:t>
            </w:r>
          </w:p>
        </w:tc>
        <w:tc>
          <w:tcPr>
            <w:tcW w:w="1658" w:type="dxa"/>
            <w:vAlign w:val="center"/>
          </w:tcPr>
          <w:p>
            <w:pPr>
              <w:adjustRightInd w:val="0"/>
              <w:snapToGrid w:val="0"/>
              <w:spacing w:line="360" w:lineRule="exact"/>
              <w:ind w:left="-77" w:leftChars="-37" w:right="-79" w:rightChars="-38"/>
              <w:jc w:val="center"/>
              <w:rPr>
                <w:rFonts w:hint="eastAsia" w:ascii="仿宋" w:hAnsi="仿宋" w:eastAsia="仿宋" w:cs="仿宋"/>
                <w:szCs w:val="21"/>
              </w:rPr>
            </w:pPr>
            <w:r>
              <w:rPr>
                <w:rFonts w:hint="eastAsia" w:ascii="仿宋" w:hAnsi="仿宋" w:eastAsia="仿宋" w:cs="仿宋"/>
                <w:szCs w:val="21"/>
              </w:rPr>
              <w:t>项　目</w:t>
            </w:r>
          </w:p>
        </w:tc>
        <w:tc>
          <w:tcPr>
            <w:tcW w:w="822" w:type="dxa"/>
            <w:vAlign w:val="center"/>
          </w:tcPr>
          <w:p>
            <w:pPr>
              <w:adjustRightInd w:val="0"/>
              <w:snapToGrid w:val="0"/>
              <w:spacing w:line="360" w:lineRule="exact"/>
              <w:ind w:left="12" w:leftChars="6" w:right="18" w:rightChars="9"/>
              <w:jc w:val="center"/>
              <w:rPr>
                <w:rFonts w:hint="eastAsia" w:ascii="仿宋" w:hAnsi="仿宋" w:eastAsia="仿宋" w:cs="仿宋"/>
                <w:szCs w:val="21"/>
              </w:rPr>
            </w:pPr>
            <w:r>
              <w:rPr>
                <w:rFonts w:hint="eastAsia" w:ascii="仿宋" w:hAnsi="仿宋" w:eastAsia="仿宋" w:cs="仿宋"/>
                <w:szCs w:val="21"/>
              </w:rPr>
              <w:t>检查选项</w:t>
            </w:r>
          </w:p>
        </w:tc>
        <w:tc>
          <w:tcPr>
            <w:tcW w:w="2517" w:type="dxa"/>
            <w:vAlign w:val="center"/>
          </w:tcPr>
          <w:p>
            <w:pPr>
              <w:adjustRightInd w:val="0"/>
              <w:snapToGrid w:val="0"/>
              <w:spacing w:line="360" w:lineRule="exact"/>
              <w:ind w:left="-86" w:leftChars="-41" w:right="-67" w:rightChars="-32"/>
              <w:jc w:val="center"/>
              <w:rPr>
                <w:rFonts w:hint="eastAsia" w:ascii="仿宋" w:hAnsi="仿宋" w:eastAsia="仿宋" w:cs="仿宋"/>
                <w:szCs w:val="21"/>
              </w:rPr>
            </w:pPr>
            <w:r>
              <w:rPr>
                <w:rFonts w:hint="eastAsia" w:ascii="仿宋" w:hAnsi="仿宋" w:eastAsia="仿宋" w:cs="仿宋"/>
                <w:szCs w:val="21"/>
              </w:rPr>
              <w:t>检查情况</w:t>
            </w:r>
          </w:p>
        </w:tc>
        <w:tc>
          <w:tcPr>
            <w:tcW w:w="2398" w:type="dxa"/>
            <w:vAlign w:val="center"/>
          </w:tcPr>
          <w:p>
            <w:pPr>
              <w:adjustRightInd w:val="0"/>
              <w:snapToGrid w:val="0"/>
              <w:spacing w:line="360" w:lineRule="exact"/>
              <w:ind w:left="-21" w:leftChars="-10" w:right="-81" w:rightChars="-39"/>
              <w:jc w:val="center"/>
              <w:rPr>
                <w:rFonts w:hint="eastAsia" w:ascii="仿宋" w:hAnsi="仿宋" w:eastAsia="仿宋" w:cs="仿宋"/>
                <w:szCs w:val="21"/>
              </w:rPr>
            </w:pPr>
            <w:r>
              <w:rPr>
                <w:rFonts w:hint="eastAsia" w:ascii="仿宋" w:hAnsi="仿宋" w:eastAsia="仿宋" w:cs="仿宋"/>
                <w:szCs w:val="21"/>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Merge w:val="restart"/>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除草</w:t>
            </w: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1</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除杂草</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2</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松土</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3</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清理枯枝落叶</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4</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清理绿地石块</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防旱与灌溉</w:t>
            </w: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5</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树木、草地浇水</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Merge w:val="restart"/>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修剪</w:t>
            </w:r>
          </w:p>
        </w:tc>
        <w:tc>
          <w:tcPr>
            <w:tcW w:w="759" w:type="dxa"/>
            <w:vAlign w:val="center"/>
          </w:tcPr>
          <w:p>
            <w:pPr>
              <w:adjustRightInd w:val="0"/>
              <w:snapToGrid w:val="0"/>
              <w:spacing w:line="36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6</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乔木整枝</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7</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灌木整枝</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8</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绿篱修剪</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Merge w:val="restart"/>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施肥</w:t>
            </w:r>
          </w:p>
        </w:tc>
        <w:tc>
          <w:tcPr>
            <w:tcW w:w="759" w:type="dxa"/>
            <w:vAlign w:val="center"/>
          </w:tcPr>
          <w:p>
            <w:pPr>
              <w:adjustRightInd w:val="0"/>
              <w:snapToGrid w:val="0"/>
              <w:spacing w:line="36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9</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乔木灌木</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10</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草地、地被施肥</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4"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防台防风</w:t>
            </w: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11</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防风工作</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补栽补种</w:t>
            </w: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12</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补栽补种</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防病治虫</w:t>
            </w: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13</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防病治虫</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Merge w:val="restart"/>
            <w:shd w:val="clear" w:color="auto" w:fill="auto"/>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养护</w:t>
            </w:r>
          </w:p>
        </w:tc>
        <w:tc>
          <w:tcPr>
            <w:tcW w:w="759" w:type="dxa"/>
            <w:shd w:val="clear" w:color="auto" w:fill="auto"/>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14</w:t>
            </w:r>
          </w:p>
        </w:tc>
        <w:tc>
          <w:tcPr>
            <w:tcW w:w="1658" w:type="dxa"/>
            <w:shd w:val="clear" w:color="auto" w:fill="auto"/>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草坪养护</w:t>
            </w:r>
          </w:p>
        </w:tc>
        <w:tc>
          <w:tcPr>
            <w:tcW w:w="822" w:type="dxa"/>
            <w:shd w:val="clear" w:color="auto" w:fill="auto"/>
          </w:tcPr>
          <w:p>
            <w:pPr>
              <w:adjustRightInd w:val="0"/>
              <w:snapToGrid w:val="0"/>
              <w:spacing w:line="360" w:lineRule="exact"/>
              <w:ind w:left="12" w:leftChars="6" w:right="18" w:rightChars="9"/>
              <w:rPr>
                <w:rFonts w:hint="eastAsia" w:ascii="仿宋" w:hAnsi="仿宋" w:eastAsia="仿宋" w:cs="仿宋"/>
                <w:szCs w:val="21"/>
              </w:rPr>
            </w:pPr>
          </w:p>
        </w:tc>
        <w:tc>
          <w:tcPr>
            <w:tcW w:w="2517" w:type="dxa"/>
            <w:shd w:val="clear" w:color="auto" w:fill="auto"/>
          </w:tcPr>
          <w:p>
            <w:pPr>
              <w:adjustRightInd w:val="0"/>
              <w:snapToGrid w:val="0"/>
              <w:spacing w:line="360" w:lineRule="exact"/>
              <w:ind w:left="-86" w:leftChars="-41" w:right="-67" w:rightChars="-32"/>
              <w:rPr>
                <w:rFonts w:hint="eastAsia" w:ascii="仿宋" w:hAnsi="仿宋" w:eastAsia="仿宋" w:cs="仿宋"/>
                <w:szCs w:val="21"/>
              </w:rPr>
            </w:pPr>
          </w:p>
        </w:tc>
        <w:tc>
          <w:tcPr>
            <w:tcW w:w="2398" w:type="dxa"/>
            <w:shd w:val="clear" w:color="auto" w:fill="auto"/>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Merge w:val="continue"/>
            <w:shd w:val="clear" w:color="auto" w:fill="auto"/>
            <w:vAlign w:val="center"/>
          </w:tcPr>
          <w:p>
            <w:pPr>
              <w:adjustRightInd w:val="0"/>
              <w:snapToGrid w:val="0"/>
              <w:spacing w:line="360" w:lineRule="exact"/>
              <w:jc w:val="center"/>
              <w:rPr>
                <w:rFonts w:hint="eastAsia" w:ascii="仿宋" w:hAnsi="仿宋" w:eastAsia="仿宋" w:cs="仿宋"/>
                <w:szCs w:val="21"/>
              </w:rPr>
            </w:pPr>
          </w:p>
        </w:tc>
        <w:tc>
          <w:tcPr>
            <w:tcW w:w="759" w:type="dxa"/>
            <w:shd w:val="clear" w:color="auto" w:fill="auto"/>
            <w:vAlign w:val="center"/>
          </w:tcPr>
          <w:p>
            <w:pPr>
              <w:adjustRightInd w:val="0"/>
              <w:snapToGrid w:val="0"/>
              <w:spacing w:line="360" w:lineRule="exact"/>
              <w:jc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5</w:t>
            </w:r>
          </w:p>
        </w:tc>
        <w:tc>
          <w:tcPr>
            <w:tcW w:w="1658" w:type="dxa"/>
            <w:shd w:val="clear" w:color="auto" w:fill="auto"/>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lang w:val="en-US" w:eastAsia="zh-CN"/>
              </w:rPr>
              <w:t>地被</w:t>
            </w:r>
            <w:r>
              <w:rPr>
                <w:rFonts w:hint="eastAsia" w:ascii="仿宋" w:hAnsi="仿宋" w:eastAsia="仿宋" w:cs="仿宋"/>
                <w:szCs w:val="21"/>
              </w:rPr>
              <w:t>养护</w:t>
            </w:r>
          </w:p>
        </w:tc>
        <w:tc>
          <w:tcPr>
            <w:tcW w:w="822" w:type="dxa"/>
            <w:shd w:val="clear" w:color="auto" w:fill="auto"/>
          </w:tcPr>
          <w:p>
            <w:pPr>
              <w:adjustRightInd w:val="0"/>
              <w:snapToGrid w:val="0"/>
              <w:spacing w:line="360" w:lineRule="exact"/>
              <w:ind w:left="12" w:leftChars="6" w:right="18" w:rightChars="9"/>
              <w:rPr>
                <w:rFonts w:hint="eastAsia" w:ascii="仿宋" w:hAnsi="仿宋" w:eastAsia="仿宋" w:cs="仿宋"/>
                <w:szCs w:val="21"/>
              </w:rPr>
            </w:pPr>
          </w:p>
        </w:tc>
        <w:tc>
          <w:tcPr>
            <w:tcW w:w="2517" w:type="dxa"/>
            <w:shd w:val="clear" w:color="auto" w:fill="auto"/>
          </w:tcPr>
          <w:p>
            <w:pPr>
              <w:adjustRightInd w:val="0"/>
              <w:snapToGrid w:val="0"/>
              <w:spacing w:line="360" w:lineRule="exact"/>
              <w:ind w:left="-86" w:leftChars="-41" w:right="-67" w:rightChars="-32"/>
              <w:rPr>
                <w:rFonts w:hint="eastAsia" w:ascii="仿宋" w:hAnsi="仿宋" w:eastAsia="仿宋" w:cs="仿宋"/>
                <w:szCs w:val="21"/>
              </w:rPr>
            </w:pPr>
          </w:p>
        </w:tc>
        <w:tc>
          <w:tcPr>
            <w:tcW w:w="2398" w:type="dxa"/>
            <w:shd w:val="clear" w:color="auto" w:fill="auto"/>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16</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树木养护</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Align w:val="center"/>
          </w:tcPr>
          <w:p>
            <w:pPr>
              <w:widowControl/>
              <w:jc w:val="center"/>
              <w:rPr>
                <w:rFonts w:hint="eastAsia" w:ascii="仿宋" w:hAnsi="仿宋" w:eastAsia="仿宋" w:cs="仿宋"/>
                <w:szCs w:val="21"/>
              </w:rPr>
            </w:pPr>
            <w:r>
              <w:rPr>
                <w:rFonts w:hint="eastAsia" w:ascii="仿宋" w:hAnsi="仿宋" w:eastAsia="仿宋" w:cs="仿宋"/>
                <w:szCs w:val="21"/>
              </w:rPr>
              <w:t>绿化</w:t>
            </w:r>
          </w:p>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保洁</w:t>
            </w: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17</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绿化保洁</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74" w:type="dxa"/>
            <w:vAlign w:val="center"/>
          </w:tcPr>
          <w:p>
            <w:pPr>
              <w:widowControl/>
              <w:jc w:val="center"/>
              <w:rPr>
                <w:rFonts w:hint="eastAsia" w:ascii="仿宋" w:hAnsi="仿宋" w:eastAsia="仿宋" w:cs="仿宋"/>
                <w:szCs w:val="21"/>
              </w:rPr>
            </w:pPr>
            <w:r>
              <w:rPr>
                <w:rFonts w:hint="eastAsia" w:ascii="仿宋" w:hAnsi="仿宋" w:eastAsia="仿宋" w:cs="仿宋"/>
                <w:szCs w:val="21"/>
              </w:rPr>
              <w:t>绿化岗位</w:t>
            </w: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18</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作业人员</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bl>
    <w:p>
      <w:pPr>
        <w:spacing w:line="360" w:lineRule="exact"/>
        <w:rPr>
          <w:rFonts w:hint="eastAsia" w:ascii="仿宋" w:hAnsi="仿宋" w:eastAsia="仿宋" w:cs="仿宋"/>
          <w:sz w:val="24"/>
        </w:rPr>
      </w:pPr>
      <w:r>
        <w:rPr>
          <w:rFonts w:hint="eastAsia" w:ascii="仿宋" w:hAnsi="仿宋" w:eastAsia="仿宋" w:cs="仿宋"/>
          <w:sz w:val="24"/>
        </w:rPr>
        <w:t>检查人：                                                 年   月   日</w:t>
      </w:r>
    </w:p>
    <w:p>
      <w:pPr>
        <w:pStyle w:val="2"/>
        <w:rPr>
          <w:rFonts w:hint="eastAsia"/>
          <w:lang w:val="en-US" w:eastAsia="zh-CN"/>
        </w:rPr>
      </w:pPr>
    </w:p>
    <w:sectPr>
      <w:pgSz w:w="11906" w:h="16838"/>
      <w:pgMar w:top="993" w:right="1416" w:bottom="113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44D790-C500-4E45-BFCD-292BABB6A9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09811A6-ACA1-4B7C-96EF-C3268B65534F}"/>
  </w:font>
  <w:font w:name="仿宋_GB2312">
    <w:panose1 w:val="02010609030101010101"/>
    <w:charset w:val="86"/>
    <w:family w:val="modern"/>
    <w:pitch w:val="default"/>
    <w:sig w:usb0="00000001" w:usb1="080E0000" w:usb2="00000000" w:usb3="00000000" w:csb0="00040000" w:csb1="00000000"/>
    <w:embedRegular r:id="rId3" w:fontKey="{D16B566D-F569-4A96-AF19-022C924587C6}"/>
  </w:font>
  <w:font w:name="仿宋">
    <w:panose1 w:val="02010609060101010101"/>
    <w:charset w:val="86"/>
    <w:family w:val="auto"/>
    <w:pitch w:val="default"/>
    <w:sig w:usb0="800002BF" w:usb1="38CF7CFA" w:usb2="00000016" w:usb3="00000000" w:csb0="00040001" w:csb1="00000000"/>
    <w:embedRegular r:id="rId4" w:fontKey="{6E86B13C-C76A-4F30-9AD6-02BE9F8D66C4}"/>
  </w:font>
  <w:font w:name="新宋体">
    <w:panose1 w:val="02010609030101010101"/>
    <w:charset w:val="86"/>
    <w:family w:val="modern"/>
    <w:pitch w:val="default"/>
    <w:sig w:usb0="00000003" w:usb1="288F0000" w:usb2="00000006" w:usb3="00000000" w:csb0="00040001" w:csb1="00000000"/>
    <w:embedRegular r:id="rId5" w:fontKey="{DB592A26-F827-4D2C-85CD-FD935D2C11C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7CD24"/>
    <w:multiLevelType w:val="singleLevel"/>
    <w:tmpl w:val="4457CD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ZTM1OWZmY2I0NjZhOTRjZGQ0ZThkNjQ1NDA2NDcifQ=="/>
  </w:docVars>
  <w:rsids>
    <w:rsidRoot w:val="003604FB"/>
    <w:rsid w:val="00002C6C"/>
    <w:rsid w:val="00002F91"/>
    <w:rsid w:val="00015D2A"/>
    <w:rsid w:val="00016EE6"/>
    <w:rsid w:val="000273FF"/>
    <w:rsid w:val="00037AA9"/>
    <w:rsid w:val="00037C43"/>
    <w:rsid w:val="00037FA7"/>
    <w:rsid w:val="00041110"/>
    <w:rsid w:val="00060FD1"/>
    <w:rsid w:val="000613AC"/>
    <w:rsid w:val="00063C67"/>
    <w:rsid w:val="00064EED"/>
    <w:rsid w:val="00080283"/>
    <w:rsid w:val="00083F47"/>
    <w:rsid w:val="00091A2A"/>
    <w:rsid w:val="00091B2B"/>
    <w:rsid w:val="00095688"/>
    <w:rsid w:val="000A73F7"/>
    <w:rsid w:val="000D2962"/>
    <w:rsid w:val="000D34EB"/>
    <w:rsid w:val="000D5ABD"/>
    <w:rsid w:val="001078CC"/>
    <w:rsid w:val="001103DD"/>
    <w:rsid w:val="00110A69"/>
    <w:rsid w:val="0012412C"/>
    <w:rsid w:val="0012426B"/>
    <w:rsid w:val="00136316"/>
    <w:rsid w:val="00140F00"/>
    <w:rsid w:val="001444C6"/>
    <w:rsid w:val="0014528C"/>
    <w:rsid w:val="0014751F"/>
    <w:rsid w:val="00147D5E"/>
    <w:rsid w:val="00155DB1"/>
    <w:rsid w:val="00184514"/>
    <w:rsid w:val="00190CEA"/>
    <w:rsid w:val="001921CF"/>
    <w:rsid w:val="00193020"/>
    <w:rsid w:val="001A71C7"/>
    <w:rsid w:val="001C0669"/>
    <w:rsid w:val="001C0AD5"/>
    <w:rsid w:val="001C1CA3"/>
    <w:rsid w:val="001D54FC"/>
    <w:rsid w:val="001F1D97"/>
    <w:rsid w:val="001F4A7C"/>
    <w:rsid w:val="001F53B9"/>
    <w:rsid w:val="001F7C44"/>
    <w:rsid w:val="002018E7"/>
    <w:rsid w:val="0020228C"/>
    <w:rsid w:val="00205ADF"/>
    <w:rsid w:val="0022460E"/>
    <w:rsid w:val="00235E5B"/>
    <w:rsid w:val="00253EEF"/>
    <w:rsid w:val="00254EC2"/>
    <w:rsid w:val="00257A39"/>
    <w:rsid w:val="00267363"/>
    <w:rsid w:val="00271B4E"/>
    <w:rsid w:val="00272C20"/>
    <w:rsid w:val="00293D5B"/>
    <w:rsid w:val="00294E83"/>
    <w:rsid w:val="002B07E4"/>
    <w:rsid w:val="002B298D"/>
    <w:rsid w:val="002C2F8D"/>
    <w:rsid w:val="002D3D58"/>
    <w:rsid w:val="002E6C00"/>
    <w:rsid w:val="002F7612"/>
    <w:rsid w:val="002F7B67"/>
    <w:rsid w:val="003065CD"/>
    <w:rsid w:val="00310A76"/>
    <w:rsid w:val="0032519E"/>
    <w:rsid w:val="003304F1"/>
    <w:rsid w:val="00330E74"/>
    <w:rsid w:val="0034341A"/>
    <w:rsid w:val="003604FB"/>
    <w:rsid w:val="003708C6"/>
    <w:rsid w:val="00386581"/>
    <w:rsid w:val="0039639D"/>
    <w:rsid w:val="003A23C4"/>
    <w:rsid w:val="003A556E"/>
    <w:rsid w:val="003C2A72"/>
    <w:rsid w:val="003D1E76"/>
    <w:rsid w:val="003D1F25"/>
    <w:rsid w:val="003D1FEC"/>
    <w:rsid w:val="003E2B9F"/>
    <w:rsid w:val="003F0DD3"/>
    <w:rsid w:val="003F12EE"/>
    <w:rsid w:val="00403818"/>
    <w:rsid w:val="004071D6"/>
    <w:rsid w:val="004103D5"/>
    <w:rsid w:val="00415AB0"/>
    <w:rsid w:val="00416496"/>
    <w:rsid w:val="00417A2A"/>
    <w:rsid w:val="00421F74"/>
    <w:rsid w:val="00422228"/>
    <w:rsid w:val="00430251"/>
    <w:rsid w:val="00431CE0"/>
    <w:rsid w:val="00447C28"/>
    <w:rsid w:val="00456CBE"/>
    <w:rsid w:val="00470E3E"/>
    <w:rsid w:val="00474548"/>
    <w:rsid w:val="00480FC1"/>
    <w:rsid w:val="00483B3B"/>
    <w:rsid w:val="00490AAF"/>
    <w:rsid w:val="004A037A"/>
    <w:rsid w:val="004A0AD5"/>
    <w:rsid w:val="004A0B4A"/>
    <w:rsid w:val="004A3B53"/>
    <w:rsid w:val="004A5C40"/>
    <w:rsid w:val="004B5881"/>
    <w:rsid w:val="004C0573"/>
    <w:rsid w:val="004C1F3C"/>
    <w:rsid w:val="004C3017"/>
    <w:rsid w:val="004D2FE7"/>
    <w:rsid w:val="004E4916"/>
    <w:rsid w:val="004E5B2B"/>
    <w:rsid w:val="004F7821"/>
    <w:rsid w:val="00500914"/>
    <w:rsid w:val="00521A32"/>
    <w:rsid w:val="00527B73"/>
    <w:rsid w:val="005316FA"/>
    <w:rsid w:val="00535EE4"/>
    <w:rsid w:val="00536436"/>
    <w:rsid w:val="005553B9"/>
    <w:rsid w:val="0055621D"/>
    <w:rsid w:val="005566F4"/>
    <w:rsid w:val="005634F9"/>
    <w:rsid w:val="00566A28"/>
    <w:rsid w:val="00590EF1"/>
    <w:rsid w:val="005B2B3D"/>
    <w:rsid w:val="005C2EE6"/>
    <w:rsid w:val="005D18E9"/>
    <w:rsid w:val="005D25E9"/>
    <w:rsid w:val="005D4B30"/>
    <w:rsid w:val="005D674C"/>
    <w:rsid w:val="005D6828"/>
    <w:rsid w:val="005E5A5E"/>
    <w:rsid w:val="005F08C2"/>
    <w:rsid w:val="006010EA"/>
    <w:rsid w:val="00607518"/>
    <w:rsid w:val="00616AE9"/>
    <w:rsid w:val="00625697"/>
    <w:rsid w:val="006263A8"/>
    <w:rsid w:val="0064290B"/>
    <w:rsid w:val="00650F0B"/>
    <w:rsid w:val="006510E3"/>
    <w:rsid w:val="00654C54"/>
    <w:rsid w:val="0065573A"/>
    <w:rsid w:val="00662A77"/>
    <w:rsid w:val="00665942"/>
    <w:rsid w:val="006710E7"/>
    <w:rsid w:val="0067229A"/>
    <w:rsid w:val="00673A9E"/>
    <w:rsid w:val="00686DF2"/>
    <w:rsid w:val="006930B1"/>
    <w:rsid w:val="00695E33"/>
    <w:rsid w:val="006A0E65"/>
    <w:rsid w:val="006A0F7B"/>
    <w:rsid w:val="006A1E67"/>
    <w:rsid w:val="006B0208"/>
    <w:rsid w:val="006B41EC"/>
    <w:rsid w:val="006B7739"/>
    <w:rsid w:val="006B7872"/>
    <w:rsid w:val="006C51EF"/>
    <w:rsid w:val="006D00E1"/>
    <w:rsid w:val="006D1194"/>
    <w:rsid w:val="006D3392"/>
    <w:rsid w:val="006D6191"/>
    <w:rsid w:val="006F1C81"/>
    <w:rsid w:val="00711E0C"/>
    <w:rsid w:val="00712BBB"/>
    <w:rsid w:val="0071524E"/>
    <w:rsid w:val="00717BF5"/>
    <w:rsid w:val="00721248"/>
    <w:rsid w:val="00726BB3"/>
    <w:rsid w:val="00732098"/>
    <w:rsid w:val="00733442"/>
    <w:rsid w:val="0073455D"/>
    <w:rsid w:val="00734F44"/>
    <w:rsid w:val="007402D3"/>
    <w:rsid w:val="00746C22"/>
    <w:rsid w:val="00760D2C"/>
    <w:rsid w:val="007659C4"/>
    <w:rsid w:val="0076634F"/>
    <w:rsid w:val="007821D6"/>
    <w:rsid w:val="007914A0"/>
    <w:rsid w:val="00793E60"/>
    <w:rsid w:val="007A1D5A"/>
    <w:rsid w:val="007A3ED9"/>
    <w:rsid w:val="007B4088"/>
    <w:rsid w:val="007B52F6"/>
    <w:rsid w:val="007B7DDC"/>
    <w:rsid w:val="007C43B1"/>
    <w:rsid w:val="007D0431"/>
    <w:rsid w:val="007D0607"/>
    <w:rsid w:val="007F7A18"/>
    <w:rsid w:val="008039CE"/>
    <w:rsid w:val="008100B2"/>
    <w:rsid w:val="00810ADD"/>
    <w:rsid w:val="008322D1"/>
    <w:rsid w:val="00842345"/>
    <w:rsid w:val="0084375F"/>
    <w:rsid w:val="00847783"/>
    <w:rsid w:val="0085159B"/>
    <w:rsid w:val="00860437"/>
    <w:rsid w:val="00860CFF"/>
    <w:rsid w:val="00866B01"/>
    <w:rsid w:val="0087397B"/>
    <w:rsid w:val="0087527C"/>
    <w:rsid w:val="00880D7F"/>
    <w:rsid w:val="00886D13"/>
    <w:rsid w:val="00893EAF"/>
    <w:rsid w:val="0089606B"/>
    <w:rsid w:val="008A592F"/>
    <w:rsid w:val="008A6886"/>
    <w:rsid w:val="008C08C8"/>
    <w:rsid w:val="008C77E3"/>
    <w:rsid w:val="008E2084"/>
    <w:rsid w:val="008E2F92"/>
    <w:rsid w:val="008E60C7"/>
    <w:rsid w:val="00901C19"/>
    <w:rsid w:val="0090569C"/>
    <w:rsid w:val="00910AC9"/>
    <w:rsid w:val="00911110"/>
    <w:rsid w:val="00912DBD"/>
    <w:rsid w:val="00917155"/>
    <w:rsid w:val="00917E40"/>
    <w:rsid w:val="0092467A"/>
    <w:rsid w:val="00926522"/>
    <w:rsid w:val="00941DD2"/>
    <w:rsid w:val="009449CD"/>
    <w:rsid w:val="00951E05"/>
    <w:rsid w:val="00966709"/>
    <w:rsid w:val="00966B26"/>
    <w:rsid w:val="00972FA5"/>
    <w:rsid w:val="009B672A"/>
    <w:rsid w:val="009C1672"/>
    <w:rsid w:val="009D2087"/>
    <w:rsid w:val="009E1E2D"/>
    <w:rsid w:val="009F4424"/>
    <w:rsid w:val="009F47B8"/>
    <w:rsid w:val="009F6E77"/>
    <w:rsid w:val="00A0295D"/>
    <w:rsid w:val="00A13539"/>
    <w:rsid w:val="00A202F8"/>
    <w:rsid w:val="00A2088B"/>
    <w:rsid w:val="00A27E27"/>
    <w:rsid w:val="00A30DE2"/>
    <w:rsid w:val="00A40196"/>
    <w:rsid w:val="00A42AC9"/>
    <w:rsid w:val="00A53553"/>
    <w:rsid w:val="00A60903"/>
    <w:rsid w:val="00A66E6C"/>
    <w:rsid w:val="00A679F4"/>
    <w:rsid w:val="00A80C00"/>
    <w:rsid w:val="00A83F4D"/>
    <w:rsid w:val="00A8452F"/>
    <w:rsid w:val="00A854CB"/>
    <w:rsid w:val="00A9200D"/>
    <w:rsid w:val="00A9357D"/>
    <w:rsid w:val="00A96C75"/>
    <w:rsid w:val="00AA3719"/>
    <w:rsid w:val="00AB0E28"/>
    <w:rsid w:val="00AB3081"/>
    <w:rsid w:val="00AB3383"/>
    <w:rsid w:val="00AC0509"/>
    <w:rsid w:val="00AC40F6"/>
    <w:rsid w:val="00AC797B"/>
    <w:rsid w:val="00AD58B1"/>
    <w:rsid w:val="00AE4152"/>
    <w:rsid w:val="00B00376"/>
    <w:rsid w:val="00B004D8"/>
    <w:rsid w:val="00B02ADA"/>
    <w:rsid w:val="00B03F86"/>
    <w:rsid w:val="00B171CD"/>
    <w:rsid w:val="00B3016D"/>
    <w:rsid w:val="00B37508"/>
    <w:rsid w:val="00B4469A"/>
    <w:rsid w:val="00B462F4"/>
    <w:rsid w:val="00B46C38"/>
    <w:rsid w:val="00B50CB9"/>
    <w:rsid w:val="00B542BD"/>
    <w:rsid w:val="00B72AC7"/>
    <w:rsid w:val="00B8510D"/>
    <w:rsid w:val="00BA15F2"/>
    <w:rsid w:val="00BA2AB9"/>
    <w:rsid w:val="00BB05FB"/>
    <w:rsid w:val="00BB1011"/>
    <w:rsid w:val="00BB1A91"/>
    <w:rsid w:val="00BB36E2"/>
    <w:rsid w:val="00BB6100"/>
    <w:rsid w:val="00BC0687"/>
    <w:rsid w:val="00BC730F"/>
    <w:rsid w:val="00BE0829"/>
    <w:rsid w:val="00BE37AB"/>
    <w:rsid w:val="00BF72FA"/>
    <w:rsid w:val="00C01FB1"/>
    <w:rsid w:val="00C02141"/>
    <w:rsid w:val="00C04664"/>
    <w:rsid w:val="00C05954"/>
    <w:rsid w:val="00C120AF"/>
    <w:rsid w:val="00C13B87"/>
    <w:rsid w:val="00C142C9"/>
    <w:rsid w:val="00C24968"/>
    <w:rsid w:val="00C2595B"/>
    <w:rsid w:val="00C421E2"/>
    <w:rsid w:val="00C42AD5"/>
    <w:rsid w:val="00C51B41"/>
    <w:rsid w:val="00C51EC0"/>
    <w:rsid w:val="00C55551"/>
    <w:rsid w:val="00C57B27"/>
    <w:rsid w:val="00C61B59"/>
    <w:rsid w:val="00C6534B"/>
    <w:rsid w:val="00C6596E"/>
    <w:rsid w:val="00C70C77"/>
    <w:rsid w:val="00C7327A"/>
    <w:rsid w:val="00C8416D"/>
    <w:rsid w:val="00C96790"/>
    <w:rsid w:val="00CA7675"/>
    <w:rsid w:val="00CB06B8"/>
    <w:rsid w:val="00CB361B"/>
    <w:rsid w:val="00CB5515"/>
    <w:rsid w:val="00CB5599"/>
    <w:rsid w:val="00CC7B58"/>
    <w:rsid w:val="00CE3840"/>
    <w:rsid w:val="00D22D23"/>
    <w:rsid w:val="00D244B3"/>
    <w:rsid w:val="00D266A1"/>
    <w:rsid w:val="00D3169C"/>
    <w:rsid w:val="00D33CDC"/>
    <w:rsid w:val="00D40922"/>
    <w:rsid w:val="00D52329"/>
    <w:rsid w:val="00D54869"/>
    <w:rsid w:val="00D5549E"/>
    <w:rsid w:val="00D727FA"/>
    <w:rsid w:val="00D75A4A"/>
    <w:rsid w:val="00D845C6"/>
    <w:rsid w:val="00D952AD"/>
    <w:rsid w:val="00D9743B"/>
    <w:rsid w:val="00DB5A92"/>
    <w:rsid w:val="00DB6CE6"/>
    <w:rsid w:val="00DC6F4C"/>
    <w:rsid w:val="00DC70DD"/>
    <w:rsid w:val="00DF6280"/>
    <w:rsid w:val="00E0593A"/>
    <w:rsid w:val="00E07654"/>
    <w:rsid w:val="00E126E6"/>
    <w:rsid w:val="00E27071"/>
    <w:rsid w:val="00E27EF4"/>
    <w:rsid w:val="00E326D2"/>
    <w:rsid w:val="00E347D1"/>
    <w:rsid w:val="00E36CA1"/>
    <w:rsid w:val="00E554B9"/>
    <w:rsid w:val="00E565C1"/>
    <w:rsid w:val="00E6017B"/>
    <w:rsid w:val="00E8018E"/>
    <w:rsid w:val="00E82F6A"/>
    <w:rsid w:val="00E85ABA"/>
    <w:rsid w:val="00E876B2"/>
    <w:rsid w:val="00E9442C"/>
    <w:rsid w:val="00EA09FD"/>
    <w:rsid w:val="00EA7D95"/>
    <w:rsid w:val="00EB1B5E"/>
    <w:rsid w:val="00EB2273"/>
    <w:rsid w:val="00ED5D88"/>
    <w:rsid w:val="00ED765B"/>
    <w:rsid w:val="00ED78B0"/>
    <w:rsid w:val="00EE2304"/>
    <w:rsid w:val="00EE3750"/>
    <w:rsid w:val="00EE626C"/>
    <w:rsid w:val="00F0705F"/>
    <w:rsid w:val="00F155AB"/>
    <w:rsid w:val="00F212D8"/>
    <w:rsid w:val="00F30ABA"/>
    <w:rsid w:val="00F32013"/>
    <w:rsid w:val="00F3470D"/>
    <w:rsid w:val="00F34779"/>
    <w:rsid w:val="00F3612B"/>
    <w:rsid w:val="00F37D60"/>
    <w:rsid w:val="00F431A8"/>
    <w:rsid w:val="00F50F21"/>
    <w:rsid w:val="00F63A76"/>
    <w:rsid w:val="00F66895"/>
    <w:rsid w:val="00F7744E"/>
    <w:rsid w:val="00F813B0"/>
    <w:rsid w:val="00F90259"/>
    <w:rsid w:val="00F95881"/>
    <w:rsid w:val="00FB1A31"/>
    <w:rsid w:val="00FB7FFE"/>
    <w:rsid w:val="00FC02EB"/>
    <w:rsid w:val="00FC0D5E"/>
    <w:rsid w:val="00FC28D9"/>
    <w:rsid w:val="00FD055E"/>
    <w:rsid w:val="00FD5D82"/>
    <w:rsid w:val="00FD6387"/>
    <w:rsid w:val="00FE1911"/>
    <w:rsid w:val="00FE3D8D"/>
    <w:rsid w:val="00FF0AEB"/>
    <w:rsid w:val="00FF4A09"/>
    <w:rsid w:val="00FF4BCB"/>
    <w:rsid w:val="00FF6ADE"/>
    <w:rsid w:val="041642CB"/>
    <w:rsid w:val="043438CC"/>
    <w:rsid w:val="060879D2"/>
    <w:rsid w:val="07676BE4"/>
    <w:rsid w:val="0B17017E"/>
    <w:rsid w:val="0BA8232E"/>
    <w:rsid w:val="0C9279D0"/>
    <w:rsid w:val="0FED2DDF"/>
    <w:rsid w:val="1024160D"/>
    <w:rsid w:val="11AD4EF0"/>
    <w:rsid w:val="11D922EE"/>
    <w:rsid w:val="126D6927"/>
    <w:rsid w:val="15224AA1"/>
    <w:rsid w:val="158C5316"/>
    <w:rsid w:val="17845D1B"/>
    <w:rsid w:val="17B62F2E"/>
    <w:rsid w:val="189245DE"/>
    <w:rsid w:val="1A7010C6"/>
    <w:rsid w:val="1AD8269C"/>
    <w:rsid w:val="1C7B26E5"/>
    <w:rsid w:val="1D8D6A75"/>
    <w:rsid w:val="1DDE1977"/>
    <w:rsid w:val="1EC62052"/>
    <w:rsid w:val="21721C66"/>
    <w:rsid w:val="21B64882"/>
    <w:rsid w:val="22885FB7"/>
    <w:rsid w:val="22E5695F"/>
    <w:rsid w:val="26F15163"/>
    <w:rsid w:val="273B01E1"/>
    <w:rsid w:val="287D0FA3"/>
    <w:rsid w:val="2DB0657A"/>
    <w:rsid w:val="2E03111E"/>
    <w:rsid w:val="2E1C2E39"/>
    <w:rsid w:val="30EF63E3"/>
    <w:rsid w:val="33DA1BE7"/>
    <w:rsid w:val="34CF46BE"/>
    <w:rsid w:val="3AE02ECE"/>
    <w:rsid w:val="3BB74DB5"/>
    <w:rsid w:val="3D2C2DB7"/>
    <w:rsid w:val="3D5A0706"/>
    <w:rsid w:val="412C74A7"/>
    <w:rsid w:val="41747719"/>
    <w:rsid w:val="42862660"/>
    <w:rsid w:val="42BB03ED"/>
    <w:rsid w:val="42C15B55"/>
    <w:rsid w:val="43F4446E"/>
    <w:rsid w:val="45333D3C"/>
    <w:rsid w:val="45B36658"/>
    <w:rsid w:val="45E7499D"/>
    <w:rsid w:val="46D779E2"/>
    <w:rsid w:val="49923383"/>
    <w:rsid w:val="49FD2971"/>
    <w:rsid w:val="4A71320D"/>
    <w:rsid w:val="4D040934"/>
    <w:rsid w:val="4D055B77"/>
    <w:rsid w:val="50184509"/>
    <w:rsid w:val="51A20F48"/>
    <w:rsid w:val="5447591B"/>
    <w:rsid w:val="58D3378D"/>
    <w:rsid w:val="5AE51FC4"/>
    <w:rsid w:val="5D710BC8"/>
    <w:rsid w:val="5E51429A"/>
    <w:rsid w:val="65DB12A9"/>
    <w:rsid w:val="661C2EED"/>
    <w:rsid w:val="67F20B82"/>
    <w:rsid w:val="682E69B9"/>
    <w:rsid w:val="6C1438AA"/>
    <w:rsid w:val="6EB375EA"/>
    <w:rsid w:val="716035B2"/>
    <w:rsid w:val="71F33C89"/>
    <w:rsid w:val="761274EF"/>
    <w:rsid w:val="79830100"/>
    <w:rsid w:val="7C2011FD"/>
    <w:rsid w:val="7DAC0DCF"/>
    <w:rsid w:val="7DDF3503"/>
    <w:rsid w:val="7E524EBA"/>
    <w:rsid w:val="7F0B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6"/>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6">
    <w:name w:val="Plain Text"/>
    <w:basedOn w:val="1"/>
    <w:link w:val="21"/>
    <w:qFormat/>
    <w:uiPriority w:val="0"/>
    <w:rPr>
      <w:rFonts w:ascii="宋体" w:hAnsi="Courier New"/>
      <w:szCs w:val="21"/>
    </w:rPr>
  </w:style>
  <w:style w:type="paragraph" w:styleId="7">
    <w:name w:val="Balloon Text"/>
    <w:basedOn w:val="1"/>
    <w:link w:val="22"/>
    <w:semiHidden/>
    <w:unhideWhenUsed/>
    <w:qFormat/>
    <w:uiPriority w:val="99"/>
    <w:rPr>
      <w:sz w:val="18"/>
      <w:szCs w:val="18"/>
    </w:rPr>
  </w:style>
  <w:style w:type="paragraph" w:styleId="8">
    <w:name w:val="footer"/>
    <w:basedOn w:val="1"/>
    <w:link w:val="18"/>
    <w:semiHidden/>
    <w:unhideWhenUsed/>
    <w:qFormat/>
    <w:uiPriority w:val="99"/>
    <w:pPr>
      <w:tabs>
        <w:tab w:val="center" w:pos="4153"/>
        <w:tab w:val="right" w:pos="8306"/>
      </w:tabs>
      <w:snapToGrid w:val="0"/>
      <w:jc w:val="left"/>
    </w:pPr>
    <w:rPr>
      <w:sz w:val="18"/>
      <w:szCs w:val="18"/>
    </w:rPr>
  </w:style>
  <w:style w:type="paragraph" w:styleId="9">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rPr>
      <w:rFonts w:ascii="宋体" w:hAnsi="Times New Roman"/>
      <w:color w:val="000000"/>
      <w:kern w:val="0"/>
      <w:sz w:val="24"/>
      <w:szCs w:val="21"/>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customStyle="1" w:styleId="16">
    <w:name w:val="正文文本 Char"/>
    <w:basedOn w:val="14"/>
    <w:link w:val="2"/>
    <w:semiHidden/>
    <w:qFormat/>
    <w:uiPriority w:val="99"/>
    <w:rPr>
      <w:rFonts w:ascii="宋体" w:hAnsi="宋体" w:eastAsia="宋体" w:cs="宋体"/>
      <w:kern w:val="0"/>
      <w:sz w:val="24"/>
      <w:szCs w:val="24"/>
    </w:rPr>
  </w:style>
  <w:style w:type="character" w:customStyle="1" w:styleId="17">
    <w:name w:val="页眉 Char"/>
    <w:basedOn w:val="14"/>
    <w:link w:val="9"/>
    <w:semiHidden/>
    <w:qFormat/>
    <w:uiPriority w:val="99"/>
    <w:rPr>
      <w:sz w:val="18"/>
      <w:szCs w:val="18"/>
    </w:rPr>
  </w:style>
  <w:style w:type="character" w:customStyle="1" w:styleId="18">
    <w:name w:val="页脚 Char"/>
    <w:basedOn w:val="14"/>
    <w:link w:val="8"/>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列出段落1"/>
    <w:basedOn w:val="1"/>
    <w:qFormat/>
    <w:uiPriority w:val="99"/>
    <w:pPr>
      <w:ind w:firstLine="420" w:firstLineChars="200"/>
    </w:pPr>
    <w:rPr>
      <w:rFonts w:ascii="Times New Roman" w:hAnsi="Times New Roman" w:eastAsia="宋体" w:cs="Times New Roman"/>
      <w:szCs w:val="24"/>
    </w:rPr>
  </w:style>
  <w:style w:type="character" w:customStyle="1" w:styleId="21">
    <w:name w:val="纯文本 Char"/>
    <w:basedOn w:val="14"/>
    <w:link w:val="6"/>
    <w:qFormat/>
    <w:uiPriority w:val="0"/>
    <w:rPr>
      <w:rFonts w:ascii="宋体" w:hAnsi="Courier New"/>
      <w:kern w:val="2"/>
      <w:sz w:val="21"/>
      <w:szCs w:val="21"/>
    </w:rPr>
  </w:style>
  <w:style w:type="character" w:customStyle="1" w:styleId="22">
    <w:name w:val="批注框文本 Char"/>
    <w:basedOn w:val="14"/>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2661</Words>
  <Characters>2735</Characters>
  <Lines>10</Lines>
  <Paragraphs>2</Paragraphs>
  <TotalTime>80</TotalTime>
  <ScaleCrop>false</ScaleCrop>
  <LinksUpToDate>false</LinksUpToDate>
  <CharactersWithSpaces>2885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2022-10-08T07:15:00Z</dcterms:created>
  <dc:creator>Administrator</dc:creator>
  <cp:lastModifiedBy>·</cp:lastModifiedBy>
  <cp:lastPrinted>2022-11-25T01:24:00Z</cp:lastPrinted>
  <dcterms:modified xsi:type="dcterms:W3CDTF">2023-03-08T06:59:14Z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717C40F0D4864734A7200C03B3699C35</vt:lpwstr>
  </property>
</Properties>
</file>